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C19" w:rsidRPr="00511268" w:rsidRDefault="00E03C19" w:rsidP="00E03C19">
      <w:pPr>
        <w:ind w:left="1080" w:hanging="1080"/>
        <w:jc w:val="center"/>
        <w:rPr>
          <w:b/>
          <w:spacing w:val="-3"/>
        </w:rPr>
      </w:pPr>
      <w:r w:rsidRPr="00511268">
        <w:rPr>
          <w:b/>
          <w:spacing w:val="-3"/>
        </w:rPr>
        <w:t>SECTION 6.1</w:t>
      </w:r>
    </w:p>
    <w:p w:rsidR="00E03C19" w:rsidRPr="00511268" w:rsidRDefault="00E03C19" w:rsidP="00E03C19">
      <w:pPr>
        <w:ind w:left="1080" w:hanging="1080"/>
        <w:jc w:val="center"/>
        <w:rPr>
          <w:b/>
          <w:spacing w:val="-3"/>
        </w:rPr>
      </w:pPr>
    </w:p>
    <w:p w:rsidR="00E03C19" w:rsidRPr="00511268" w:rsidRDefault="00E03C19" w:rsidP="00E03C19">
      <w:pPr>
        <w:ind w:left="1080" w:hanging="1080"/>
        <w:jc w:val="center"/>
        <w:rPr>
          <w:b/>
          <w:spacing w:val="-3"/>
        </w:rPr>
      </w:pPr>
      <w:r w:rsidRPr="00511268">
        <w:rPr>
          <w:b/>
          <w:spacing w:val="-3"/>
        </w:rPr>
        <w:t>TECHNICAL SPECIFICATION FOR</w:t>
      </w:r>
    </w:p>
    <w:p w:rsidR="00E03C19" w:rsidRPr="00511268" w:rsidRDefault="00E03C19" w:rsidP="00E03C19">
      <w:pPr>
        <w:ind w:left="1080" w:hanging="1080"/>
        <w:jc w:val="center"/>
        <w:rPr>
          <w:b/>
          <w:spacing w:val="-3"/>
        </w:rPr>
      </w:pPr>
      <w:bookmarkStart w:id="0" w:name="_GoBack"/>
      <w:r w:rsidRPr="00511268">
        <w:rPr>
          <w:b/>
          <w:spacing w:val="-3"/>
        </w:rPr>
        <w:t>CEMENT STABILIZED SAND BACKFILL</w:t>
      </w:r>
    </w:p>
    <w:bookmarkEnd w:id="0"/>
    <w:p w:rsidR="00E03C19" w:rsidRPr="00511268" w:rsidRDefault="00E03C19" w:rsidP="00E03C19">
      <w:pPr>
        <w:ind w:left="1080" w:hanging="1080"/>
        <w:jc w:val="center"/>
        <w:rPr>
          <w:b/>
          <w:spacing w:val="-3"/>
          <w:sz w:val="28"/>
          <w:szCs w:val="28"/>
        </w:rPr>
      </w:pPr>
    </w:p>
    <w:p w:rsidR="00E03C19" w:rsidRPr="00511268" w:rsidRDefault="00E03C19" w:rsidP="00E03C19">
      <w:pPr>
        <w:pBdr>
          <w:top w:val="single" w:sz="4" w:space="1" w:color="auto"/>
          <w:left w:val="single" w:sz="4" w:space="4" w:color="auto"/>
          <w:bottom w:val="single" w:sz="4" w:space="1" w:color="auto"/>
          <w:right w:val="single" w:sz="4" w:space="4" w:color="auto"/>
        </w:pBdr>
        <w:tabs>
          <w:tab w:val="right" w:pos="9360"/>
        </w:tabs>
        <w:suppressAutoHyphens/>
        <w:ind w:left="1080" w:hanging="1080"/>
        <w:jc w:val="center"/>
        <w:rPr>
          <w:b/>
          <w:vanish/>
        </w:rPr>
      </w:pPr>
      <w:r w:rsidRPr="00511268">
        <w:rPr>
          <w:b/>
          <w:vanish/>
        </w:rPr>
        <w:t>NOVEMBER 2000</w:t>
      </w:r>
    </w:p>
    <w:p w:rsidR="00E03C19" w:rsidRPr="00511268" w:rsidRDefault="00E03C19" w:rsidP="00E03C19">
      <w:pPr>
        <w:ind w:left="1080" w:hanging="1080"/>
        <w:jc w:val="center"/>
        <w:rPr>
          <w:b/>
          <w:spacing w:val="-3"/>
        </w:rPr>
      </w:pPr>
    </w:p>
    <w:p w:rsidR="00E03C19" w:rsidRPr="00511268" w:rsidRDefault="00E03C19" w:rsidP="00E03C19">
      <w:pPr>
        <w:ind w:left="1080" w:hanging="1080"/>
        <w:rPr>
          <w:b/>
          <w:caps/>
        </w:rPr>
      </w:pPr>
      <w:r w:rsidRPr="00511268">
        <w:rPr>
          <w:b/>
          <w:caps/>
        </w:rPr>
        <w:t xml:space="preserve">Part 1: </w:t>
      </w:r>
      <w:r w:rsidRPr="00511268">
        <w:rPr>
          <w:b/>
          <w:caps/>
        </w:rPr>
        <w:tab/>
        <w:t>General</w:t>
      </w:r>
    </w:p>
    <w:p w:rsidR="00E03C19" w:rsidRPr="00511268" w:rsidRDefault="00E03C19" w:rsidP="00E03C19">
      <w:pPr>
        <w:ind w:left="1080" w:hanging="1080"/>
        <w:rPr>
          <w:b/>
        </w:rPr>
      </w:pPr>
    </w:p>
    <w:p w:rsidR="00E03C19" w:rsidRPr="00511268" w:rsidRDefault="00E03C19" w:rsidP="00E03C19">
      <w:pPr>
        <w:pStyle w:val="BodyText2"/>
        <w:numPr>
          <w:ilvl w:val="1"/>
          <w:numId w:val="4"/>
        </w:numPr>
        <w:tabs>
          <w:tab w:val="clear" w:pos="360"/>
          <w:tab w:val="num" w:pos="1080"/>
        </w:tabs>
        <w:spacing w:line="240" w:lineRule="auto"/>
        <w:ind w:left="1080" w:hanging="1080"/>
        <w:rPr>
          <w:b/>
        </w:rPr>
      </w:pPr>
      <w:r w:rsidRPr="00511268">
        <w:rPr>
          <w:b/>
        </w:rPr>
        <w:t>Scope of Work</w:t>
      </w:r>
    </w:p>
    <w:p w:rsidR="00E03C19" w:rsidRPr="00511268" w:rsidRDefault="00E03C19" w:rsidP="00E03C19">
      <w:pPr>
        <w:pStyle w:val="BodyText2"/>
        <w:tabs>
          <w:tab w:val="clear" w:pos="720"/>
        </w:tabs>
        <w:spacing w:after="0" w:line="240" w:lineRule="auto"/>
        <w:ind w:left="1080" w:firstLine="0"/>
      </w:pPr>
      <w:r w:rsidRPr="00511268">
        <w:t>This section specifies cement stabilized sand for use as backfill and any other work that requires stabilized material, and will be placed at the direction of the Engineer.</w:t>
      </w:r>
    </w:p>
    <w:p w:rsidR="00E03C19" w:rsidRPr="00511268" w:rsidRDefault="00E03C19" w:rsidP="00E03C19">
      <w:pPr>
        <w:pStyle w:val="BodyText2"/>
        <w:tabs>
          <w:tab w:val="clear" w:pos="720"/>
        </w:tabs>
        <w:spacing w:after="0" w:line="240" w:lineRule="auto"/>
        <w:ind w:left="1080" w:hanging="1080"/>
        <w:rPr>
          <w:b/>
          <w:caps/>
          <w:szCs w:val="24"/>
        </w:rPr>
      </w:pPr>
    </w:p>
    <w:p w:rsidR="00E03C19" w:rsidRPr="00511268" w:rsidRDefault="00E03C19" w:rsidP="00E03C19">
      <w:pPr>
        <w:pStyle w:val="BodyText2"/>
        <w:tabs>
          <w:tab w:val="clear" w:pos="720"/>
        </w:tabs>
        <w:spacing w:after="0" w:line="240" w:lineRule="auto"/>
        <w:ind w:left="1080" w:hanging="1080"/>
        <w:rPr>
          <w:b/>
          <w:caps/>
          <w:szCs w:val="24"/>
        </w:rPr>
      </w:pPr>
      <w:r w:rsidRPr="00511268">
        <w:rPr>
          <w:b/>
          <w:caps/>
          <w:szCs w:val="24"/>
        </w:rPr>
        <w:t>Part 2:</w:t>
      </w:r>
      <w:r w:rsidRPr="00511268">
        <w:rPr>
          <w:b/>
          <w:caps/>
          <w:szCs w:val="24"/>
        </w:rPr>
        <w:tab/>
        <w:t>Quality Assurance</w:t>
      </w:r>
    </w:p>
    <w:p w:rsidR="00E03C19" w:rsidRPr="00511268" w:rsidRDefault="00E03C19" w:rsidP="00E03C19">
      <w:pPr>
        <w:pStyle w:val="BodyText2"/>
        <w:tabs>
          <w:tab w:val="clear" w:pos="720"/>
        </w:tabs>
        <w:spacing w:after="0" w:line="240" w:lineRule="auto"/>
        <w:ind w:left="1080" w:hanging="1080"/>
        <w:rPr>
          <w:b/>
        </w:rPr>
      </w:pPr>
    </w:p>
    <w:p w:rsidR="00E03C19" w:rsidRPr="00511268" w:rsidRDefault="00E03C19" w:rsidP="00E03C19">
      <w:pPr>
        <w:pStyle w:val="BodyText2"/>
        <w:numPr>
          <w:ilvl w:val="1"/>
          <w:numId w:val="2"/>
        </w:numPr>
        <w:tabs>
          <w:tab w:val="clear" w:pos="360"/>
          <w:tab w:val="num" w:pos="1080"/>
        </w:tabs>
        <w:spacing w:after="0" w:line="240" w:lineRule="auto"/>
        <w:ind w:left="1080" w:hanging="1080"/>
        <w:rPr>
          <w:b/>
        </w:rPr>
      </w:pPr>
      <w:r w:rsidRPr="00511268">
        <w:rPr>
          <w:b/>
        </w:rPr>
        <w:t>Reference Standards</w:t>
      </w:r>
    </w:p>
    <w:p w:rsidR="00E03C19" w:rsidRPr="00ED388D" w:rsidRDefault="00E03C19" w:rsidP="00E03C19">
      <w:pPr>
        <w:pStyle w:val="Heading3"/>
        <w:numPr>
          <w:ilvl w:val="0"/>
          <w:numId w:val="0"/>
        </w:numPr>
        <w:tabs>
          <w:tab w:val="left" w:pos="1080"/>
        </w:tabs>
        <w:spacing w:before="120" w:after="120"/>
        <w:ind w:left="1080"/>
        <w:rPr>
          <w:rFonts w:ascii="Times New Roman" w:hAnsi="Times New Roman" w:cs="Times New Roman"/>
          <w:b w:val="0"/>
          <w:sz w:val="24"/>
          <w:szCs w:val="24"/>
        </w:rPr>
      </w:pPr>
      <w:r w:rsidRPr="00ED388D">
        <w:rPr>
          <w:rFonts w:ascii="Times New Roman" w:hAnsi="Times New Roman" w:cs="Times New Roman"/>
          <w:b w:val="0"/>
          <w:sz w:val="24"/>
          <w:szCs w:val="24"/>
        </w:rPr>
        <w:t>Unless otherwise stated, the latest edition</w:t>
      </w:r>
      <w:r>
        <w:rPr>
          <w:rFonts w:ascii="Times New Roman" w:hAnsi="Times New Roman" w:cs="Times New Roman"/>
          <w:b w:val="0"/>
          <w:sz w:val="24"/>
          <w:szCs w:val="24"/>
        </w:rPr>
        <w:t>s</w:t>
      </w:r>
      <w:r w:rsidRPr="00ED388D">
        <w:rPr>
          <w:rFonts w:ascii="Times New Roman" w:hAnsi="Times New Roman" w:cs="Times New Roman"/>
          <w:b w:val="0"/>
          <w:sz w:val="24"/>
          <w:szCs w:val="24"/>
        </w:rPr>
        <w:t xml:space="preserve"> </w:t>
      </w:r>
      <w:r>
        <w:rPr>
          <w:rFonts w:ascii="Times New Roman" w:hAnsi="Times New Roman" w:cs="Times New Roman"/>
          <w:b w:val="0"/>
          <w:sz w:val="24"/>
          <w:szCs w:val="24"/>
        </w:rPr>
        <w:t>of the following documents are applicable</w:t>
      </w:r>
    </w:p>
    <w:p w:rsidR="00E03C19" w:rsidRPr="003B321C" w:rsidRDefault="00E03C19" w:rsidP="00E03C19">
      <w:pPr>
        <w:autoSpaceDE w:val="0"/>
        <w:autoSpaceDN w:val="0"/>
        <w:adjustRightInd w:val="0"/>
        <w:spacing w:before="120" w:after="120"/>
        <w:ind w:left="1080"/>
        <w:jc w:val="both"/>
        <w:rPr>
          <w:bCs/>
        </w:rPr>
      </w:pPr>
      <w:r w:rsidRPr="003B321C">
        <w:rPr>
          <w:bCs/>
        </w:rPr>
        <w:t>for this specification:</w:t>
      </w:r>
    </w:p>
    <w:p w:rsidR="00E03C19" w:rsidRDefault="00E03C19" w:rsidP="00E03C19">
      <w:pPr>
        <w:pStyle w:val="Heading2"/>
        <w:numPr>
          <w:ilvl w:val="0"/>
          <w:numId w:val="0"/>
        </w:numPr>
        <w:spacing w:before="0" w:after="0"/>
        <w:ind w:left="3240"/>
        <w:rPr>
          <w:rFonts w:ascii="Times New Roman" w:hAnsi="Times New Roman" w:cs="Times New Roman"/>
          <w:bCs w:val="0"/>
          <w:i w:val="0"/>
          <w:iCs w:val="0"/>
          <w:snapToGrid w:val="0"/>
          <w:sz w:val="24"/>
          <w:szCs w:val="20"/>
        </w:rPr>
      </w:pPr>
    </w:p>
    <w:p w:rsidR="00E03C19" w:rsidRPr="0075602D" w:rsidRDefault="00E03C19" w:rsidP="00E03C19">
      <w:pPr>
        <w:pStyle w:val="Heading2"/>
        <w:numPr>
          <w:ilvl w:val="0"/>
          <w:numId w:val="0"/>
        </w:numPr>
        <w:spacing w:before="0" w:after="0"/>
        <w:ind w:left="1080"/>
        <w:rPr>
          <w:rFonts w:ascii="Times New Roman" w:hAnsi="Times New Roman" w:cs="Times New Roman"/>
          <w:b w:val="0"/>
          <w:i w:val="0"/>
          <w:sz w:val="24"/>
          <w:szCs w:val="24"/>
        </w:rPr>
      </w:pPr>
      <w:r w:rsidRPr="0075602D">
        <w:rPr>
          <w:rFonts w:ascii="Times New Roman" w:hAnsi="Times New Roman" w:cs="Times New Roman"/>
          <w:b w:val="0"/>
          <w:i w:val="0"/>
          <w:sz w:val="24"/>
          <w:szCs w:val="24"/>
        </w:rPr>
        <w:t>ASTM C150</w:t>
      </w:r>
      <w:r w:rsidRPr="0075602D">
        <w:rPr>
          <w:b w:val="0"/>
          <w:i w:val="0"/>
          <w:sz w:val="24"/>
          <w:szCs w:val="24"/>
        </w:rPr>
        <w:tab/>
      </w:r>
      <w:r>
        <w:rPr>
          <w:b w:val="0"/>
          <w:i w:val="0"/>
          <w:sz w:val="24"/>
          <w:szCs w:val="24"/>
        </w:rPr>
        <w:tab/>
      </w:r>
      <w:r w:rsidRPr="0075602D">
        <w:rPr>
          <w:rFonts w:ascii="Times New Roman" w:hAnsi="Times New Roman" w:cs="Times New Roman"/>
          <w:b w:val="0"/>
          <w:i w:val="0"/>
          <w:sz w:val="24"/>
          <w:szCs w:val="24"/>
        </w:rPr>
        <w:t>Standard Specification for Portland Cement</w:t>
      </w:r>
    </w:p>
    <w:p w:rsidR="00E03C19" w:rsidRPr="0075602D" w:rsidRDefault="00E03C19" w:rsidP="00E03C19">
      <w:pPr>
        <w:pStyle w:val="Heading2"/>
        <w:numPr>
          <w:ilvl w:val="0"/>
          <w:numId w:val="0"/>
        </w:numPr>
        <w:spacing w:before="0" w:after="0"/>
        <w:ind w:left="3240"/>
        <w:rPr>
          <w:rFonts w:ascii="Times New Roman" w:hAnsi="Times New Roman" w:cs="Times New Roman"/>
          <w:b w:val="0"/>
          <w:i w:val="0"/>
          <w:sz w:val="24"/>
          <w:szCs w:val="24"/>
        </w:rPr>
      </w:pPr>
    </w:p>
    <w:p w:rsidR="00E03C19" w:rsidRPr="0075602D" w:rsidRDefault="00E03C19" w:rsidP="00E03C19">
      <w:pPr>
        <w:pStyle w:val="Heading2"/>
        <w:numPr>
          <w:ilvl w:val="0"/>
          <w:numId w:val="0"/>
        </w:numPr>
        <w:spacing w:before="0" w:after="0"/>
        <w:ind w:left="1080"/>
        <w:rPr>
          <w:rFonts w:ascii="Times New Roman" w:hAnsi="Times New Roman" w:cs="Times New Roman"/>
          <w:b w:val="0"/>
          <w:i w:val="0"/>
          <w:sz w:val="24"/>
          <w:szCs w:val="24"/>
        </w:rPr>
      </w:pPr>
      <w:r w:rsidRPr="0075602D">
        <w:rPr>
          <w:rFonts w:ascii="Times New Roman" w:hAnsi="Times New Roman" w:cs="Times New Roman"/>
          <w:b w:val="0"/>
          <w:i w:val="0"/>
          <w:sz w:val="24"/>
          <w:szCs w:val="24"/>
        </w:rPr>
        <w:t>ASTM C117</w:t>
      </w:r>
      <w:r w:rsidRPr="0075602D">
        <w:rPr>
          <w:b w:val="0"/>
          <w:i w:val="0"/>
          <w:sz w:val="24"/>
          <w:szCs w:val="24"/>
        </w:rPr>
        <w:tab/>
      </w:r>
      <w:r>
        <w:rPr>
          <w:b w:val="0"/>
          <w:i w:val="0"/>
          <w:sz w:val="24"/>
          <w:szCs w:val="24"/>
        </w:rPr>
        <w:tab/>
      </w:r>
      <w:r w:rsidRPr="0075602D">
        <w:rPr>
          <w:rFonts w:ascii="Times New Roman" w:hAnsi="Times New Roman" w:cs="Times New Roman"/>
          <w:b w:val="0"/>
          <w:i w:val="0"/>
          <w:sz w:val="24"/>
          <w:szCs w:val="24"/>
        </w:rPr>
        <w:t xml:space="preserve">Standard Test Method for Materials Finer than 75-μm (No.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75602D">
        <w:rPr>
          <w:rFonts w:ascii="Times New Roman" w:hAnsi="Times New Roman" w:cs="Times New Roman"/>
          <w:b w:val="0"/>
          <w:i w:val="0"/>
          <w:sz w:val="24"/>
          <w:szCs w:val="24"/>
        </w:rPr>
        <w:t>200) Sieve in Mineral Aggregates by Washing</w:t>
      </w:r>
    </w:p>
    <w:p w:rsidR="00E03C19" w:rsidRPr="0075602D" w:rsidRDefault="00E03C19" w:rsidP="00E03C19">
      <w:pPr>
        <w:pStyle w:val="BodyText2"/>
        <w:tabs>
          <w:tab w:val="clear" w:pos="720"/>
        </w:tabs>
        <w:spacing w:after="0" w:line="240" w:lineRule="auto"/>
        <w:ind w:left="1080" w:firstLine="2160"/>
        <w:rPr>
          <w:szCs w:val="24"/>
        </w:rPr>
      </w:pPr>
    </w:p>
    <w:p w:rsidR="00E03C19" w:rsidRPr="0075602D" w:rsidRDefault="00E03C19" w:rsidP="00E03C19">
      <w:pPr>
        <w:pStyle w:val="Heading2"/>
        <w:numPr>
          <w:ilvl w:val="0"/>
          <w:numId w:val="0"/>
        </w:numPr>
        <w:spacing w:before="0" w:after="0"/>
        <w:ind w:left="1080"/>
        <w:rPr>
          <w:rFonts w:ascii="Times New Roman" w:hAnsi="Times New Roman" w:cs="Times New Roman"/>
          <w:b w:val="0"/>
          <w:i w:val="0"/>
          <w:sz w:val="24"/>
          <w:szCs w:val="24"/>
        </w:rPr>
      </w:pPr>
      <w:r w:rsidRPr="0075602D">
        <w:rPr>
          <w:rFonts w:ascii="Times New Roman" w:hAnsi="Times New Roman" w:cs="Times New Roman"/>
          <w:b w:val="0"/>
          <w:i w:val="0"/>
          <w:sz w:val="24"/>
          <w:szCs w:val="24"/>
        </w:rPr>
        <w:t>ASTM C136</w:t>
      </w:r>
      <w:r w:rsidRPr="0075602D">
        <w:rPr>
          <w:b w:val="0"/>
          <w:i w:val="0"/>
          <w:sz w:val="24"/>
          <w:szCs w:val="24"/>
        </w:rPr>
        <w:tab/>
      </w:r>
      <w:r>
        <w:rPr>
          <w:b w:val="0"/>
          <w:i w:val="0"/>
          <w:sz w:val="24"/>
          <w:szCs w:val="24"/>
        </w:rPr>
        <w:tab/>
      </w:r>
      <w:r w:rsidRPr="0075602D">
        <w:rPr>
          <w:rFonts w:ascii="Times New Roman" w:hAnsi="Times New Roman" w:cs="Times New Roman"/>
          <w:b w:val="0"/>
          <w:i w:val="0"/>
          <w:sz w:val="24"/>
          <w:szCs w:val="24"/>
        </w:rPr>
        <w:t xml:space="preserve">Standard Test Method for Sieve Analysis of Fine and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75602D">
        <w:rPr>
          <w:rFonts w:ascii="Times New Roman" w:hAnsi="Times New Roman" w:cs="Times New Roman"/>
          <w:b w:val="0"/>
          <w:i w:val="0"/>
          <w:sz w:val="24"/>
          <w:szCs w:val="24"/>
        </w:rPr>
        <w:t>Coarse Aggregates</w:t>
      </w:r>
    </w:p>
    <w:p w:rsidR="00E03C19" w:rsidRPr="0075602D" w:rsidRDefault="00E03C19" w:rsidP="00E03C19">
      <w:pPr>
        <w:pStyle w:val="BodyText2"/>
        <w:tabs>
          <w:tab w:val="clear" w:pos="720"/>
        </w:tabs>
        <w:spacing w:after="0" w:line="240" w:lineRule="auto"/>
        <w:ind w:left="1080" w:firstLine="2160"/>
        <w:rPr>
          <w:szCs w:val="24"/>
        </w:rPr>
      </w:pPr>
      <w:r w:rsidRPr="0075602D">
        <w:rPr>
          <w:szCs w:val="24"/>
        </w:rPr>
        <w:tab/>
      </w:r>
    </w:p>
    <w:p w:rsidR="00E03C19" w:rsidRPr="0075602D" w:rsidRDefault="00E03C19" w:rsidP="00E03C19">
      <w:pPr>
        <w:pStyle w:val="Heading2"/>
        <w:numPr>
          <w:ilvl w:val="0"/>
          <w:numId w:val="0"/>
        </w:numPr>
        <w:spacing w:before="0" w:after="0"/>
        <w:ind w:left="1080"/>
        <w:rPr>
          <w:rFonts w:ascii="Times New Roman" w:hAnsi="Times New Roman" w:cs="Times New Roman"/>
          <w:b w:val="0"/>
          <w:i w:val="0"/>
          <w:sz w:val="24"/>
          <w:szCs w:val="24"/>
        </w:rPr>
      </w:pPr>
      <w:r w:rsidRPr="0075602D">
        <w:rPr>
          <w:rFonts w:ascii="Times New Roman" w:hAnsi="Times New Roman" w:cs="Times New Roman"/>
          <w:b w:val="0"/>
          <w:i w:val="0"/>
          <w:sz w:val="24"/>
          <w:szCs w:val="24"/>
        </w:rPr>
        <w:t>ASTM D4318</w:t>
      </w:r>
      <w:r w:rsidRPr="0075602D">
        <w:rPr>
          <w:rFonts w:ascii="Times New Roman" w:hAnsi="Times New Roman" w:cs="Times New Roman"/>
          <w:b w:val="0"/>
          <w:i w:val="0"/>
          <w:sz w:val="24"/>
          <w:szCs w:val="24"/>
        </w:rPr>
        <w:tab/>
      </w:r>
      <w:r>
        <w:rPr>
          <w:rFonts w:ascii="Times New Roman" w:hAnsi="Times New Roman" w:cs="Times New Roman"/>
          <w:b w:val="0"/>
          <w:i w:val="0"/>
          <w:sz w:val="24"/>
          <w:szCs w:val="24"/>
        </w:rPr>
        <w:tab/>
      </w:r>
      <w:r w:rsidRPr="0075602D">
        <w:rPr>
          <w:rFonts w:ascii="Times New Roman" w:hAnsi="Times New Roman" w:cs="Times New Roman"/>
          <w:b w:val="0"/>
          <w:i w:val="0"/>
          <w:sz w:val="24"/>
          <w:szCs w:val="24"/>
        </w:rPr>
        <w:t xml:space="preserve">Standard Test Methods for Liquid Limit, Plastic Limit, and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75602D">
        <w:rPr>
          <w:rFonts w:ascii="Times New Roman" w:hAnsi="Times New Roman" w:cs="Times New Roman"/>
          <w:b w:val="0"/>
          <w:i w:val="0"/>
          <w:sz w:val="24"/>
          <w:szCs w:val="24"/>
        </w:rPr>
        <w:t>Plasticity Index of Soils</w:t>
      </w:r>
    </w:p>
    <w:p w:rsidR="00E03C19" w:rsidRDefault="00E03C19" w:rsidP="00E03C19">
      <w:pPr>
        <w:pStyle w:val="Heading2"/>
        <w:numPr>
          <w:ilvl w:val="0"/>
          <w:numId w:val="0"/>
        </w:numPr>
        <w:spacing w:before="0" w:after="0"/>
        <w:ind w:left="3240"/>
        <w:rPr>
          <w:rFonts w:ascii="Times New Roman" w:hAnsi="Times New Roman" w:cs="Times New Roman"/>
          <w:b w:val="0"/>
          <w:bCs w:val="0"/>
          <w:i w:val="0"/>
          <w:iCs w:val="0"/>
          <w:snapToGrid w:val="0"/>
          <w:sz w:val="24"/>
          <w:szCs w:val="24"/>
        </w:rPr>
      </w:pPr>
    </w:p>
    <w:p w:rsidR="00E03C19" w:rsidRPr="0075602D" w:rsidRDefault="00E03C19" w:rsidP="00E03C19">
      <w:pPr>
        <w:pStyle w:val="Heading2"/>
        <w:numPr>
          <w:ilvl w:val="0"/>
          <w:numId w:val="0"/>
        </w:numPr>
        <w:spacing w:before="0" w:after="0"/>
        <w:ind w:left="1080"/>
        <w:rPr>
          <w:rFonts w:ascii="Times New Roman" w:hAnsi="Times New Roman" w:cs="Times New Roman"/>
          <w:b w:val="0"/>
          <w:i w:val="0"/>
          <w:sz w:val="24"/>
          <w:szCs w:val="24"/>
        </w:rPr>
      </w:pPr>
      <w:r w:rsidRPr="0075602D">
        <w:rPr>
          <w:rFonts w:ascii="Times New Roman" w:hAnsi="Times New Roman" w:cs="Times New Roman"/>
          <w:b w:val="0"/>
          <w:i w:val="0"/>
          <w:sz w:val="24"/>
          <w:szCs w:val="24"/>
        </w:rPr>
        <w:t>ASTM D558</w:t>
      </w:r>
      <w:r w:rsidRPr="0075602D">
        <w:rPr>
          <w:rFonts w:ascii="Times New Roman" w:hAnsi="Times New Roman" w:cs="Times New Roman"/>
          <w:b w:val="0"/>
          <w:i w:val="0"/>
          <w:sz w:val="24"/>
          <w:szCs w:val="24"/>
        </w:rPr>
        <w:tab/>
      </w:r>
      <w:r>
        <w:rPr>
          <w:rFonts w:ascii="Times New Roman" w:hAnsi="Times New Roman" w:cs="Times New Roman"/>
          <w:b w:val="0"/>
          <w:i w:val="0"/>
          <w:sz w:val="24"/>
          <w:szCs w:val="24"/>
        </w:rPr>
        <w:tab/>
      </w:r>
      <w:r w:rsidRPr="0075602D">
        <w:rPr>
          <w:rFonts w:ascii="Times New Roman" w:hAnsi="Times New Roman" w:cs="Times New Roman"/>
          <w:b w:val="0"/>
          <w:i w:val="0"/>
          <w:sz w:val="24"/>
          <w:szCs w:val="24"/>
        </w:rPr>
        <w:t xml:space="preserve">Standard Test Methods for Moisture-Density (Unit Weight)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75602D">
        <w:rPr>
          <w:rFonts w:ascii="Times New Roman" w:hAnsi="Times New Roman" w:cs="Times New Roman"/>
          <w:b w:val="0"/>
          <w:i w:val="0"/>
          <w:sz w:val="24"/>
          <w:szCs w:val="24"/>
        </w:rPr>
        <w:t>Relations of Soil-Cement Mixtures</w:t>
      </w:r>
    </w:p>
    <w:p w:rsidR="00E03C19" w:rsidRPr="0075602D" w:rsidRDefault="00E03C19" w:rsidP="00E03C19">
      <w:pPr>
        <w:pStyle w:val="Default"/>
        <w:ind w:left="360" w:firstLine="720"/>
        <w:rPr>
          <w:color w:val="auto"/>
        </w:rPr>
      </w:pPr>
    </w:p>
    <w:p w:rsidR="00E03C19" w:rsidRPr="00511268" w:rsidRDefault="00E03C19" w:rsidP="00E03C19">
      <w:pPr>
        <w:pStyle w:val="BodyText2"/>
        <w:numPr>
          <w:ilvl w:val="1"/>
          <w:numId w:val="2"/>
        </w:numPr>
        <w:tabs>
          <w:tab w:val="clear" w:pos="360"/>
          <w:tab w:val="num" w:pos="1080"/>
        </w:tabs>
        <w:spacing w:line="240" w:lineRule="auto"/>
        <w:ind w:left="1080" w:hanging="1080"/>
        <w:rPr>
          <w:b/>
        </w:rPr>
      </w:pPr>
      <w:r w:rsidRPr="00511268">
        <w:rPr>
          <w:b/>
        </w:rPr>
        <w:t>Submittals</w:t>
      </w:r>
    </w:p>
    <w:p w:rsidR="00E03C19" w:rsidRPr="00511268" w:rsidRDefault="00E03C19" w:rsidP="00E03C19">
      <w:pPr>
        <w:pStyle w:val="BodyText2"/>
        <w:tabs>
          <w:tab w:val="clear" w:pos="720"/>
        </w:tabs>
        <w:spacing w:after="0" w:line="240" w:lineRule="auto"/>
        <w:ind w:left="1080" w:firstLine="0"/>
      </w:pPr>
      <w:r>
        <w:t>Mix design shall be submitted to the Owner for approval.</w:t>
      </w:r>
    </w:p>
    <w:p w:rsidR="00E03C19" w:rsidRPr="00511268" w:rsidRDefault="00E03C19" w:rsidP="00E03C19">
      <w:pPr>
        <w:pStyle w:val="BodyText2"/>
        <w:tabs>
          <w:tab w:val="clear" w:pos="720"/>
        </w:tabs>
        <w:spacing w:after="0" w:line="240" w:lineRule="auto"/>
        <w:ind w:left="1080" w:firstLine="0"/>
        <w:rPr>
          <w:b/>
        </w:rPr>
      </w:pPr>
    </w:p>
    <w:p w:rsidR="00E03C19" w:rsidRDefault="00E03C19" w:rsidP="00E03C19">
      <w:pPr>
        <w:pStyle w:val="BodyText2"/>
        <w:tabs>
          <w:tab w:val="clear" w:pos="720"/>
        </w:tabs>
        <w:spacing w:line="240" w:lineRule="auto"/>
        <w:ind w:left="1080" w:hanging="1080"/>
        <w:rPr>
          <w:b/>
          <w:caps/>
          <w:szCs w:val="24"/>
        </w:rPr>
      </w:pPr>
    </w:p>
    <w:p w:rsidR="00E03C19" w:rsidRDefault="00E03C19" w:rsidP="00E03C19">
      <w:pPr>
        <w:pStyle w:val="BodyText2"/>
        <w:tabs>
          <w:tab w:val="clear" w:pos="720"/>
        </w:tabs>
        <w:spacing w:line="240" w:lineRule="auto"/>
        <w:ind w:left="1080" w:hanging="1080"/>
        <w:rPr>
          <w:b/>
          <w:caps/>
          <w:szCs w:val="24"/>
        </w:rPr>
      </w:pPr>
    </w:p>
    <w:p w:rsidR="00E03C19" w:rsidRDefault="00E03C19" w:rsidP="00E03C19">
      <w:pPr>
        <w:pStyle w:val="BodyText2"/>
        <w:tabs>
          <w:tab w:val="clear" w:pos="720"/>
        </w:tabs>
        <w:spacing w:line="240" w:lineRule="auto"/>
        <w:ind w:left="1080" w:hanging="1080"/>
        <w:rPr>
          <w:b/>
          <w:caps/>
          <w:szCs w:val="24"/>
        </w:rPr>
      </w:pPr>
    </w:p>
    <w:p w:rsidR="00E03C19" w:rsidRDefault="00E03C19" w:rsidP="00E03C19">
      <w:pPr>
        <w:pStyle w:val="BodyText2"/>
        <w:tabs>
          <w:tab w:val="clear" w:pos="720"/>
        </w:tabs>
        <w:spacing w:line="240" w:lineRule="auto"/>
        <w:ind w:left="1080" w:hanging="1080"/>
        <w:jc w:val="right"/>
        <w:rPr>
          <w:b/>
          <w:caps/>
          <w:szCs w:val="24"/>
        </w:rPr>
        <w:sectPr w:rsidR="00E03C19" w:rsidSect="00207F8D">
          <w:headerReference w:type="default" r:id="rId5"/>
          <w:footerReference w:type="default" r:id="rId6"/>
          <w:pgSz w:w="12240" w:h="15840"/>
          <w:pgMar w:top="1440" w:right="1440" w:bottom="1440" w:left="1440" w:header="1440" w:footer="720" w:gutter="0"/>
          <w:cols w:space="720"/>
          <w:docGrid w:linePitch="360"/>
        </w:sectPr>
      </w:pPr>
    </w:p>
    <w:p w:rsidR="00E03C19" w:rsidRPr="00511268" w:rsidRDefault="00E03C19" w:rsidP="00E03C19">
      <w:pPr>
        <w:pStyle w:val="BodyText2"/>
        <w:tabs>
          <w:tab w:val="clear" w:pos="720"/>
        </w:tabs>
        <w:spacing w:line="240" w:lineRule="auto"/>
        <w:ind w:left="1080" w:hanging="1080"/>
        <w:rPr>
          <w:b/>
          <w:caps/>
          <w:szCs w:val="24"/>
        </w:rPr>
      </w:pPr>
      <w:r w:rsidRPr="00511268">
        <w:rPr>
          <w:b/>
          <w:caps/>
          <w:szCs w:val="24"/>
        </w:rPr>
        <w:lastRenderedPageBreak/>
        <w:t>Part 3:   Product</w:t>
      </w:r>
    </w:p>
    <w:p w:rsidR="00E03C19" w:rsidRPr="00511268" w:rsidRDefault="00E03C19" w:rsidP="00E03C19">
      <w:pPr>
        <w:pStyle w:val="BodyText"/>
        <w:tabs>
          <w:tab w:val="clear" w:pos="2376"/>
        </w:tabs>
        <w:spacing w:after="0"/>
        <w:ind w:left="1080" w:firstLine="0"/>
        <w:jc w:val="both"/>
      </w:pPr>
      <w:r w:rsidRPr="00511268">
        <w:t xml:space="preserve">Stabilized sand shall consist of approximately one </w:t>
      </w:r>
      <w:r>
        <w:t xml:space="preserve">to one and half </w:t>
      </w:r>
      <w:r w:rsidRPr="00511268">
        <w:t>sack</w:t>
      </w:r>
      <w:r>
        <w:t>s</w:t>
      </w:r>
      <w:r w:rsidRPr="00511268">
        <w:t xml:space="preserve"> of type I/II cement and 27 cu. ft. of cushion sand.  Concrete sand is not permitted.</w:t>
      </w:r>
    </w:p>
    <w:p w:rsidR="00E03C19" w:rsidRDefault="00E03C19" w:rsidP="00E03C19">
      <w:pPr>
        <w:pStyle w:val="BodyText2"/>
        <w:tabs>
          <w:tab w:val="clear" w:pos="720"/>
        </w:tabs>
        <w:spacing w:line="240" w:lineRule="auto"/>
        <w:ind w:left="0" w:firstLine="0"/>
        <w:jc w:val="both"/>
        <w:rPr>
          <w:b/>
        </w:rPr>
      </w:pPr>
    </w:p>
    <w:p w:rsidR="00E03C19" w:rsidRPr="00511268" w:rsidRDefault="00E03C19" w:rsidP="00E03C19">
      <w:pPr>
        <w:pStyle w:val="BodyText2"/>
        <w:numPr>
          <w:ilvl w:val="1"/>
          <w:numId w:val="3"/>
        </w:numPr>
        <w:tabs>
          <w:tab w:val="clear" w:pos="360"/>
          <w:tab w:val="num" w:pos="1080"/>
        </w:tabs>
        <w:spacing w:line="240" w:lineRule="auto"/>
        <w:ind w:left="1080" w:hanging="1080"/>
        <w:jc w:val="both"/>
        <w:rPr>
          <w:b/>
        </w:rPr>
      </w:pPr>
      <w:r w:rsidRPr="00511268">
        <w:rPr>
          <w:b/>
        </w:rPr>
        <w:t>Cement</w:t>
      </w:r>
    </w:p>
    <w:p w:rsidR="00E03C19" w:rsidRPr="00511268" w:rsidRDefault="00E03C19" w:rsidP="00E03C19">
      <w:pPr>
        <w:pStyle w:val="BodyText2"/>
        <w:tabs>
          <w:tab w:val="clear" w:pos="720"/>
        </w:tabs>
        <w:spacing w:after="0" w:line="240" w:lineRule="auto"/>
        <w:ind w:left="1080" w:firstLine="0"/>
        <w:jc w:val="both"/>
      </w:pPr>
      <w:r w:rsidRPr="00511268">
        <w:t>Type I Portland Cement conforming to ASTM C150</w:t>
      </w:r>
      <w:r>
        <w:t xml:space="preserve"> shall be used.</w:t>
      </w:r>
    </w:p>
    <w:p w:rsidR="00E03C19" w:rsidRPr="00511268" w:rsidRDefault="00E03C19" w:rsidP="00E03C19">
      <w:pPr>
        <w:pStyle w:val="BodyText2"/>
        <w:tabs>
          <w:tab w:val="clear" w:pos="720"/>
        </w:tabs>
        <w:spacing w:after="0" w:line="240" w:lineRule="auto"/>
        <w:ind w:left="0" w:firstLine="0"/>
        <w:jc w:val="both"/>
        <w:rPr>
          <w:b/>
        </w:rPr>
      </w:pPr>
    </w:p>
    <w:p w:rsidR="00E03C19" w:rsidRPr="00511268" w:rsidRDefault="00E03C19" w:rsidP="00E03C19">
      <w:pPr>
        <w:pStyle w:val="BodyText2"/>
        <w:numPr>
          <w:ilvl w:val="1"/>
          <w:numId w:val="3"/>
        </w:numPr>
        <w:tabs>
          <w:tab w:val="clear" w:pos="360"/>
          <w:tab w:val="num" w:pos="1080"/>
        </w:tabs>
        <w:spacing w:line="240" w:lineRule="auto"/>
        <w:ind w:left="1080" w:hanging="1080"/>
        <w:jc w:val="both"/>
        <w:rPr>
          <w:b/>
        </w:rPr>
      </w:pPr>
      <w:r w:rsidRPr="00511268">
        <w:rPr>
          <w:b/>
        </w:rPr>
        <w:t xml:space="preserve">Sand  </w:t>
      </w:r>
    </w:p>
    <w:p w:rsidR="00E03C19" w:rsidRPr="00511268" w:rsidRDefault="00E03C19" w:rsidP="00E03C19">
      <w:pPr>
        <w:ind w:left="1080"/>
        <w:jc w:val="both"/>
        <w:rPr>
          <w:b/>
        </w:rPr>
      </w:pPr>
      <w:r w:rsidRPr="00511268">
        <w:t>Sand shall be free from organic or otherwise deleterious materials and shall conform to the following requirements:</w:t>
      </w:r>
    </w:p>
    <w:p w:rsidR="00E03C19" w:rsidRPr="00511268" w:rsidRDefault="00E03C19" w:rsidP="00E03C19">
      <w:pPr>
        <w:ind w:left="1080" w:hanging="1080"/>
        <w:jc w:val="both"/>
        <w:rPr>
          <w:rFonts w:ascii="Arial" w:hAnsi="Arial" w:cs="Arial"/>
        </w:rPr>
      </w:pPr>
    </w:p>
    <w:p w:rsidR="00E03C19" w:rsidRPr="00511268" w:rsidRDefault="00E03C19" w:rsidP="00E03C19">
      <w:pPr>
        <w:ind w:left="1080" w:hanging="1080"/>
        <w:rPr>
          <w:u w:val="single"/>
        </w:rPr>
      </w:pPr>
      <w:r w:rsidRPr="00511268">
        <w:rPr>
          <w:rFonts w:ascii="Arial" w:hAnsi="Arial" w:cs="Arial"/>
        </w:rPr>
        <w:tab/>
      </w:r>
      <w:r w:rsidRPr="00511268">
        <w:rPr>
          <w:u w:val="single"/>
        </w:rPr>
        <w:t>SIEVE SIZE</w:t>
      </w:r>
      <w:r w:rsidRPr="00511268">
        <w:tab/>
      </w:r>
      <w:r w:rsidRPr="00511268">
        <w:tab/>
      </w:r>
      <w:r w:rsidRPr="00511268">
        <w:tab/>
      </w:r>
      <w:r w:rsidRPr="00511268">
        <w:tab/>
      </w:r>
      <w:r w:rsidRPr="00511268">
        <w:tab/>
      </w:r>
      <w:r w:rsidRPr="00511268">
        <w:rPr>
          <w:u w:val="single"/>
        </w:rPr>
        <w:t>PERCENT PASSING</w:t>
      </w:r>
      <w:r>
        <w:rPr>
          <w:u w:val="single"/>
        </w:rPr>
        <w:t xml:space="preserve"> (%)</w:t>
      </w:r>
    </w:p>
    <w:p w:rsidR="00E03C19" w:rsidRPr="00F80C05" w:rsidRDefault="00E03C19" w:rsidP="00E03C19">
      <w:pPr>
        <w:ind w:left="1080" w:hanging="1080"/>
        <w:rPr>
          <w:sz w:val="16"/>
          <w:szCs w:val="16"/>
          <w:u w:val="single"/>
        </w:rPr>
      </w:pPr>
    </w:p>
    <w:p w:rsidR="00E03C19" w:rsidRPr="00511268" w:rsidRDefault="00E03C19" w:rsidP="00E03C19">
      <w:pPr>
        <w:spacing w:after="120"/>
        <w:ind w:left="1080" w:hanging="1080"/>
      </w:pPr>
      <w:r>
        <w:tab/>
        <w:t xml:space="preserve">   3/8-Inch</w:t>
      </w:r>
      <w:r>
        <w:tab/>
      </w:r>
      <w:r>
        <w:tab/>
      </w:r>
      <w:r>
        <w:tab/>
      </w:r>
      <w:r>
        <w:tab/>
      </w:r>
      <w:r>
        <w:tab/>
      </w:r>
      <w:r>
        <w:tab/>
      </w:r>
      <w:r>
        <w:tab/>
        <w:t>100</w:t>
      </w:r>
    </w:p>
    <w:p w:rsidR="00E03C19" w:rsidRPr="00511268" w:rsidRDefault="00E03C19" w:rsidP="00E03C19">
      <w:pPr>
        <w:spacing w:after="120"/>
        <w:ind w:left="1080" w:hanging="1080"/>
      </w:pPr>
      <w:r w:rsidRPr="00511268">
        <w:tab/>
        <w:t xml:space="preserve">    #200</w:t>
      </w:r>
      <w:r w:rsidRPr="00511268">
        <w:tab/>
      </w:r>
      <w:r w:rsidRPr="00511268">
        <w:tab/>
      </w:r>
      <w:r w:rsidRPr="00511268">
        <w:tab/>
      </w:r>
      <w:r w:rsidRPr="00511268">
        <w:tab/>
      </w:r>
      <w:r w:rsidRPr="00511268">
        <w:tab/>
      </w:r>
      <w:r w:rsidRPr="00511268">
        <w:tab/>
      </w:r>
      <w:r w:rsidRPr="00511268">
        <w:tab/>
        <w:t>0-20</w:t>
      </w:r>
    </w:p>
    <w:p w:rsidR="00E03C19" w:rsidRPr="00F80C05" w:rsidRDefault="00E03C19" w:rsidP="00E03C19">
      <w:pPr>
        <w:ind w:left="1080" w:hanging="1080"/>
        <w:jc w:val="both"/>
        <w:rPr>
          <w:sz w:val="16"/>
          <w:szCs w:val="16"/>
        </w:rPr>
      </w:pPr>
    </w:p>
    <w:p w:rsidR="00E03C19" w:rsidRPr="00511268" w:rsidRDefault="00E03C19" w:rsidP="00E03C19">
      <w:pPr>
        <w:ind w:left="1080"/>
        <w:jc w:val="both"/>
      </w:pPr>
      <w:r w:rsidRPr="00511268">
        <w:t>The Plasticity Index (P.I.) shall not exceed six (6).</w:t>
      </w:r>
    </w:p>
    <w:p w:rsidR="00E03C19" w:rsidRPr="00511268" w:rsidRDefault="00E03C19" w:rsidP="00E03C19">
      <w:pPr>
        <w:pStyle w:val="Heading1"/>
        <w:numPr>
          <w:ilvl w:val="0"/>
          <w:numId w:val="0"/>
        </w:numPr>
        <w:spacing w:before="0" w:after="0"/>
        <w:ind w:left="1080"/>
        <w:rPr>
          <w:rFonts w:ascii="Times New Roman" w:hAnsi="Times New Roman" w:cs="Times New Roman"/>
          <w:sz w:val="24"/>
          <w:szCs w:val="24"/>
        </w:rPr>
      </w:pPr>
    </w:p>
    <w:p w:rsidR="00E03C19" w:rsidRPr="00511268" w:rsidRDefault="00E03C19" w:rsidP="00E03C19">
      <w:pPr>
        <w:pStyle w:val="BodyText2"/>
        <w:numPr>
          <w:ilvl w:val="1"/>
          <w:numId w:val="3"/>
        </w:numPr>
        <w:tabs>
          <w:tab w:val="clear" w:pos="360"/>
          <w:tab w:val="num" w:pos="1080"/>
        </w:tabs>
        <w:spacing w:line="240" w:lineRule="auto"/>
        <w:ind w:left="1080" w:hanging="1080"/>
        <w:jc w:val="both"/>
        <w:rPr>
          <w:b/>
        </w:rPr>
      </w:pPr>
      <w:r w:rsidRPr="00511268">
        <w:rPr>
          <w:b/>
        </w:rPr>
        <w:t>Water</w:t>
      </w:r>
    </w:p>
    <w:p w:rsidR="00E03C19" w:rsidRPr="00511268" w:rsidRDefault="00E03C19" w:rsidP="00E03C19">
      <w:pPr>
        <w:ind w:left="1080"/>
        <w:jc w:val="both"/>
        <w:rPr>
          <w:snapToGrid w:val="0"/>
          <w:szCs w:val="20"/>
        </w:rPr>
      </w:pPr>
      <w:r>
        <w:rPr>
          <w:snapToGrid w:val="0"/>
          <w:szCs w:val="20"/>
        </w:rPr>
        <w:t>Potable water shall be</w:t>
      </w:r>
      <w:r w:rsidRPr="00511268">
        <w:rPr>
          <w:snapToGrid w:val="0"/>
          <w:szCs w:val="20"/>
        </w:rPr>
        <w:t xml:space="preserve"> free of oils, acids, alkalis, organic matter, or other deleterious </w:t>
      </w:r>
    </w:p>
    <w:p w:rsidR="00E03C19" w:rsidRPr="00511268" w:rsidRDefault="00E03C19" w:rsidP="00E03C19">
      <w:pPr>
        <w:ind w:left="1080"/>
        <w:jc w:val="both"/>
      </w:pPr>
      <w:r w:rsidRPr="00511268">
        <w:rPr>
          <w:snapToGrid w:val="0"/>
          <w:szCs w:val="20"/>
        </w:rPr>
        <w:t>Substances</w:t>
      </w:r>
      <w:r w:rsidRPr="00511268">
        <w:t>.</w:t>
      </w:r>
    </w:p>
    <w:p w:rsidR="00E03C19" w:rsidRPr="00B44D7D" w:rsidRDefault="00E03C19" w:rsidP="00E03C19">
      <w:pPr>
        <w:jc w:val="both"/>
        <w:rPr>
          <w:b/>
        </w:rPr>
      </w:pPr>
    </w:p>
    <w:p w:rsidR="00E03C19" w:rsidRPr="00B44D7D" w:rsidRDefault="00E03C19" w:rsidP="00E03C19">
      <w:pPr>
        <w:pStyle w:val="Heading1"/>
        <w:numPr>
          <w:ilvl w:val="0"/>
          <w:numId w:val="0"/>
        </w:numPr>
        <w:spacing w:before="0" w:after="0"/>
        <w:jc w:val="both"/>
        <w:rPr>
          <w:rFonts w:ascii="Times New Roman" w:hAnsi="Times New Roman" w:cs="Times New Roman"/>
          <w:sz w:val="24"/>
          <w:szCs w:val="24"/>
        </w:rPr>
      </w:pPr>
      <w:r w:rsidRPr="00B44D7D">
        <w:rPr>
          <w:rFonts w:ascii="Times New Roman" w:hAnsi="Times New Roman" w:cs="Times New Roman"/>
          <w:sz w:val="24"/>
          <w:szCs w:val="24"/>
        </w:rPr>
        <w:t>PART 4</w:t>
      </w:r>
      <w:r>
        <w:rPr>
          <w:rFonts w:ascii="Times New Roman" w:hAnsi="Times New Roman" w:cs="Times New Roman"/>
          <w:sz w:val="24"/>
          <w:szCs w:val="24"/>
        </w:rPr>
        <w:t xml:space="preserve">:   </w:t>
      </w:r>
      <w:r w:rsidRPr="00B44D7D">
        <w:rPr>
          <w:rFonts w:ascii="Times New Roman" w:hAnsi="Times New Roman" w:cs="Times New Roman"/>
          <w:sz w:val="24"/>
          <w:szCs w:val="24"/>
        </w:rPr>
        <w:t>EXECUTION</w:t>
      </w:r>
    </w:p>
    <w:p w:rsidR="00E03C19" w:rsidRPr="00B44D7D" w:rsidRDefault="00E03C19" w:rsidP="00E03C19">
      <w:pPr>
        <w:pStyle w:val="Heading1"/>
        <w:numPr>
          <w:ilvl w:val="0"/>
          <w:numId w:val="0"/>
        </w:numPr>
        <w:spacing w:before="0" w:after="0"/>
        <w:ind w:left="1080"/>
        <w:jc w:val="both"/>
        <w:rPr>
          <w:rFonts w:ascii="Times New Roman" w:hAnsi="Times New Roman" w:cs="Times New Roman"/>
          <w:sz w:val="24"/>
          <w:szCs w:val="24"/>
        </w:rPr>
      </w:pPr>
    </w:p>
    <w:p w:rsidR="00E03C19" w:rsidRPr="00B44D7D" w:rsidRDefault="00E03C19" w:rsidP="00E03C19">
      <w:pPr>
        <w:pStyle w:val="Heading1"/>
        <w:widowControl w:val="0"/>
        <w:numPr>
          <w:ilvl w:val="1"/>
          <w:numId w:val="6"/>
        </w:numPr>
        <w:spacing w:before="120" w:after="0"/>
        <w:jc w:val="both"/>
        <w:rPr>
          <w:rFonts w:ascii="Times New Roman" w:hAnsi="Times New Roman" w:cs="Times New Roman"/>
        </w:rPr>
      </w:pPr>
      <w:r w:rsidRPr="00B44D7D">
        <w:rPr>
          <w:rFonts w:ascii="Times New Roman" w:hAnsi="Times New Roman" w:cs="Times New Roman"/>
          <w:sz w:val="24"/>
          <w:szCs w:val="24"/>
        </w:rPr>
        <w:t xml:space="preserve">Design Requirements </w:t>
      </w:r>
    </w:p>
    <w:p w:rsidR="00E03C19" w:rsidRPr="00B44D7D" w:rsidRDefault="00E03C19" w:rsidP="00E03C19">
      <w:pPr>
        <w:pStyle w:val="Heading1"/>
        <w:numPr>
          <w:ilvl w:val="0"/>
          <w:numId w:val="0"/>
        </w:numPr>
        <w:spacing w:before="120" w:after="0"/>
        <w:ind w:left="1080"/>
        <w:jc w:val="both"/>
        <w:rPr>
          <w:rFonts w:ascii="Times New Roman" w:hAnsi="Times New Roman" w:cs="Times New Roman"/>
          <w:b w:val="0"/>
          <w:sz w:val="24"/>
          <w:szCs w:val="24"/>
        </w:rPr>
      </w:pPr>
      <w:r w:rsidRPr="00B44D7D">
        <w:rPr>
          <w:rFonts w:ascii="Times New Roman" w:hAnsi="Times New Roman" w:cs="Times New Roman"/>
          <w:b w:val="0"/>
          <w:sz w:val="24"/>
          <w:szCs w:val="24"/>
        </w:rPr>
        <w:t>The cement stabilized sand shall have a comprehensive strength of 50 to 150 psi in 28 days.  Backfill that exceeds the maximum compressive strength shall be removed by the contractor.</w:t>
      </w:r>
    </w:p>
    <w:p w:rsidR="00E03C19" w:rsidRPr="00B44D7D" w:rsidRDefault="00E03C19" w:rsidP="00E03C19">
      <w:pPr>
        <w:pStyle w:val="Heading1"/>
        <w:numPr>
          <w:ilvl w:val="0"/>
          <w:numId w:val="0"/>
        </w:numPr>
        <w:spacing w:before="0" w:after="0"/>
        <w:ind w:left="432"/>
        <w:jc w:val="both"/>
        <w:rPr>
          <w:rFonts w:ascii="Times New Roman" w:hAnsi="Times New Roman" w:cs="Times New Roman"/>
          <w:sz w:val="24"/>
          <w:szCs w:val="24"/>
        </w:rPr>
      </w:pPr>
    </w:p>
    <w:p w:rsidR="00E03C19" w:rsidRPr="00B44D7D" w:rsidRDefault="00E03C19" w:rsidP="00E03C19">
      <w:pPr>
        <w:pStyle w:val="Heading1"/>
        <w:widowControl w:val="0"/>
        <w:numPr>
          <w:ilvl w:val="1"/>
          <w:numId w:val="6"/>
        </w:numPr>
        <w:spacing w:before="0" w:after="0"/>
        <w:jc w:val="both"/>
        <w:rPr>
          <w:rFonts w:ascii="Times New Roman" w:hAnsi="Times New Roman" w:cs="Times New Roman"/>
          <w:sz w:val="24"/>
          <w:szCs w:val="24"/>
        </w:rPr>
      </w:pPr>
      <w:r w:rsidRPr="00B44D7D">
        <w:rPr>
          <w:rFonts w:ascii="Times New Roman" w:hAnsi="Times New Roman" w:cs="Times New Roman"/>
          <w:sz w:val="24"/>
          <w:szCs w:val="24"/>
        </w:rPr>
        <w:t>Mixing</w:t>
      </w:r>
    </w:p>
    <w:p w:rsidR="00E03C19" w:rsidRDefault="00E03C19" w:rsidP="00E03C19">
      <w:pPr>
        <w:pStyle w:val="BodyText"/>
        <w:tabs>
          <w:tab w:val="clear" w:pos="2376"/>
        </w:tabs>
        <w:spacing w:before="120"/>
        <w:ind w:left="1080" w:firstLine="0"/>
        <w:jc w:val="both"/>
      </w:pPr>
      <w:r w:rsidRPr="00B44D7D">
        <w:t>The cement, aggregate and water shall be thoroughly mixed in an approved processing plant.  The mixer shall be a stationary Twin Shaft Pugmill.  The plant shall be equipped with feeding and metering devices, which will add the aggregate, cement and water into the mixer in the specified quantities.  The moisture content of the mixture shall be maintained between one percent below and two percentage points above optimum moisture or shall be maintained within the range established by the Engineer</w:t>
      </w:r>
      <w:r w:rsidRPr="000F5A28">
        <w:t>.  The amounts of cement are expressed as percentage of dry weight of aggregate.</w:t>
      </w:r>
    </w:p>
    <w:p w:rsidR="00E03C19" w:rsidRDefault="00E03C19" w:rsidP="00E03C19"/>
    <w:p w:rsidR="00E03C19" w:rsidRDefault="00E03C19" w:rsidP="00E03C19">
      <w:pPr>
        <w:jc w:val="right"/>
        <w:sectPr w:rsidR="00E03C19" w:rsidSect="00207F8D">
          <w:footerReference w:type="default" r:id="rId7"/>
          <w:pgSz w:w="12240" w:h="15840"/>
          <w:pgMar w:top="1440" w:right="1440" w:bottom="1440" w:left="1440" w:header="1440" w:footer="720" w:gutter="0"/>
          <w:cols w:space="720"/>
          <w:docGrid w:linePitch="360"/>
        </w:sectPr>
      </w:pPr>
    </w:p>
    <w:p w:rsidR="00E03C19" w:rsidRPr="004606AC" w:rsidRDefault="00E03C19" w:rsidP="00E03C19">
      <w:pPr>
        <w:pStyle w:val="ListParagraph"/>
        <w:numPr>
          <w:ilvl w:val="1"/>
          <w:numId w:val="6"/>
        </w:numPr>
        <w:tabs>
          <w:tab w:val="left" w:pos="314"/>
        </w:tabs>
      </w:pPr>
      <w:r w:rsidRPr="004606AC">
        <w:rPr>
          <w:b/>
        </w:rPr>
        <w:lastRenderedPageBreak/>
        <w:tab/>
        <w:t>Placement and Compaction</w:t>
      </w:r>
    </w:p>
    <w:p w:rsidR="00E03C19" w:rsidRPr="00511268" w:rsidRDefault="00E03C19" w:rsidP="00E03C19">
      <w:pPr>
        <w:pStyle w:val="BodyText"/>
        <w:numPr>
          <w:ilvl w:val="0"/>
          <w:numId w:val="5"/>
        </w:numPr>
        <w:tabs>
          <w:tab w:val="clear" w:pos="1800"/>
          <w:tab w:val="num" w:pos="1440"/>
        </w:tabs>
        <w:spacing w:before="120" w:after="0"/>
        <w:ind w:left="1440"/>
        <w:jc w:val="both"/>
      </w:pPr>
      <w:r w:rsidRPr="00511268">
        <w:t xml:space="preserve">Placement of cement stabilized sand shall be in 8-inch-thick lifts and to be compact to 95% of ASTM D558 unless other specified by the engineer.  Compaction shall continue until the entire depth of the mixture is uniformly compacted.   </w:t>
      </w:r>
    </w:p>
    <w:p w:rsidR="00E03C19" w:rsidRPr="00511268" w:rsidRDefault="00E03C19" w:rsidP="00E03C19">
      <w:pPr>
        <w:numPr>
          <w:ilvl w:val="0"/>
          <w:numId w:val="5"/>
        </w:numPr>
        <w:tabs>
          <w:tab w:val="clear" w:pos="1800"/>
          <w:tab w:val="num" w:pos="1440"/>
        </w:tabs>
        <w:spacing w:before="120"/>
        <w:ind w:left="1440"/>
        <w:jc w:val="both"/>
      </w:pPr>
      <w:r w:rsidRPr="00511268">
        <w:t>Compaction shall be within four (4) hours of the addition of water to the dry mixed material.</w:t>
      </w:r>
    </w:p>
    <w:p w:rsidR="00E03C19" w:rsidRPr="00511268" w:rsidRDefault="00E03C19" w:rsidP="00E03C19">
      <w:pPr>
        <w:pStyle w:val="BodyText"/>
        <w:numPr>
          <w:ilvl w:val="0"/>
          <w:numId w:val="5"/>
        </w:numPr>
        <w:tabs>
          <w:tab w:val="clear" w:pos="1800"/>
          <w:tab w:val="num" w:pos="1440"/>
        </w:tabs>
        <w:spacing w:before="120" w:after="0"/>
        <w:ind w:left="1440"/>
        <w:jc w:val="both"/>
        <w:rPr>
          <w:rFonts w:ascii="Arial" w:hAnsi="Arial" w:cs="Arial"/>
        </w:rPr>
      </w:pPr>
      <w:r w:rsidRPr="00511268">
        <w:t>Cement stabilized sand shall no</w:t>
      </w:r>
      <w:r>
        <w:t>t</w:t>
      </w:r>
      <w:r w:rsidRPr="00511268">
        <w:t xml:space="preserve"> be placed or compact</w:t>
      </w:r>
      <w:r>
        <w:t>ed</w:t>
      </w:r>
      <w:r w:rsidRPr="00511268">
        <w:t xml:space="preserve"> in standing or free water. </w:t>
      </w:r>
    </w:p>
    <w:p w:rsidR="00E03C19" w:rsidRPr="00511268" w:rsidRDefault="00E03C19" w:rsidP="00E03C19">
      <w:pPr>
        <w:numPr>
          <w:ilvl w:val="0"/>
          <w:numId w:val="5"/>
        </w:numPr>
        <w:tabs>
          <w:tab w:val="clear" w:pos="1800"/>
          <w:tab w:val="num" w:pos="1440"/>
        </w:tabs>
        <w:spacing w:before="120"/>
        <w:ind w:left="1440"/>
        <w:jc w:val="both"/>
      </w:pPr>
      <w:r w:rsidRPr="00511268">
        <w:t>Material will be delivered in tandem or trailer trucks. Any material left in stockpile after four (4) hours should be discarded.</w:t>
      </w:r>
    </w:p>
    <w:p w:rsidR="00E03C19" w:rsidRPr="00511268" w:rsidRDefault="00E03C19" w:rsidP="00E03C19">
      <w:pPr>
        <w:spacing w:after="120"/>
        <w:ind w:left="1440" w:hanging="360"/>
        <w:jc w:val="both"/>
        <w:rPr>
          <w:rFonts w:ascii="Arial" w:hAnsi="Arial" w:cs="Arial"/>
        </w:rPr>
      </w:pPr>
    </w:p>
    <w:p w:rsidR="00E03C19" w:rsidRPr="0018443D" w:rsidRDefault="00E03C19" w:rsidP="00E03C19">
      <w:pPr>
        <w:pStyle w:val="Default"/>
        <w:ind w:left="1080" w:right="991" w:hanging="1080"/>
        <w:jc w:val="both"/>
        <w:rPr>
          <w:b/>
          <w:bCs/>
          <w:color w:val="auto"/>
        </w:rPr>
      </w:pPr>
      <w:r w:rsidRPr="0018443D">
        <w:rPr>
          <w:b/>
          <w:bCs/>
          <w:color w:val="auto"/>
        </w:rPr>
        <w:t>PART 5:</w:t>
      </w:r>
      <w:r w:rsidRPr="0018443D">
        <w:rPr>
          <w:b/>
          <w:bCs/>
          <w:color w:val="auto"/>
        </w:rPr>
        <w:tab/>
        <w:t>METHOD OF MEASUREMENT AND PAYMENT</w:t>
      </w:r>
    </w:p>
    <w:p w:rsidR="00E03C19" w:rsidRPr="00B1636D" w:rsidRDefault="00E03C19" w:rsidP="00E03C19">
      <w:pPr>
        <w:pStyle w:val="Default"/>
        <w:ind w:left="1080" w:right="991" w:hanging="1080"/>
        <w:jc w:val="both"/>
        <w:rPr>
          <w:color w:val="auto"/>
          <w:sz w:val="16"/>
          <w:szCs w:val="16"/>
        </w:rPr>
      </w:pPr>
    </w:p>
    <w:p w:rsidR="00E03C19" w:rsidRPr="00ED388D" w:rsidRDefault="00E03C19" w:rsidP="00E03C19">
      <w:pPr>
        <w:autoSpaceDE w:val="0"/>
        <w:autoSpaceDN w:val="0"/>
        <w:adjustRightInd w:val="0"/>
        <w:ind w:left="1080"/>
        <w:jc w:val="both"/>
        <w:rPr>
          <w:b/>
          <w:bCs/>
        </w:rPr>
      </w:pPr>
      <w:r>
        <w:t xml:space="preserve">Method of Measurement and </w:t>
      </w:r>
      <w:r w:rsidRPr="00ED388D">
        <w:t>Payment for the work included in this section will be in accordance with the payment schedule in the Bid Proposal.</w:t>
      </w:r>
    </w:p>
    <w:p w:rsidR="00E03C19" w:rsidRDefault="00E03C19" w:rsidP="00E03C19">
      <w:pPr>
        <w:pStyle w:val="Heading1"/>
        <w:numPr>
          <w:ilvl w:val="0"/>
          <w:numId w:val="0"/>
        </w:numPr>
        <w:spacing w:before="0" w:after="0"/>
        <w:ind w:left="1080"/>
        <w:rPr>
          <w:rFonts w:ascii="Times New Roman" w:hAnsi="Times New Roman" w:cs="Times New Roman"/>
          <w:sz w:val="24"/>
          <w:szCs w:val="24"/>
        </w:rPr>
      </w:pPr>
    </w:p>
    <w:p w:rsidR="00E03C19" w:rsidRPr="00511268" w:rsidRDefault="00E03C19" w:rsidP="00E03C19">
      <w:pPr>
        <w:pStyle w:val="BodyText2"/>
        <w:tabs>
          <w:tab w:val="clear" w:pos="720"/>
        </w:tabs>
        <w:spacing w:after="0" w:line="240" w:lineRule="auto"/>
        <w:ind w:left="1080" w:hanging="1080"/>
      </w:pPr>
    </w:p>
    <w:p w:rsidR="00E03C19" w:rsidRPr="00511268" w:rsidRDefault="00E03C19" w:rsidP="00E03C19">
      <w:pPr>
        <w:ind w:left="1080" w:hanging="1080"/>
        <w:jc w:val="center"/>
        <w:rPr>
          <w:b/>
          <w:spacing w:val="-3"/>
        </w:rPr>
      </w:pPr>
      <w:r w:rsidRPr="00511268">
        <w:rPr>
          <w:b/>
          <w:spacing w:val="-3"/>
        </w:rPr>
        <w:t>**END OF SECTION**</w:t>
      </w:r>
    </w:p>
    <w:p w:rsidR="00DC05C5" w:rsidRDefault="00E03C19"/>
    <w:sectPr w:rsidR="00DC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25493A" w:rsidRDefault="00E03C19" w:rsidP="00207F8D">
    <w:pPr>
      <w:pStyle w:val="Footer"/>
      <w:tabs>
        <w:tab w:val="clear" w:pos="4320"/>
        <w:tab w:val="clear" w:pos="8640"/>
      </w:tabs>
      <w:rPr>
        <w:smallCaps/>
        <w:color w:val="0066CC"/>
        <w:sz w:val="20"/>
      </w:rPr>
    </w:pPr>
    <w:r w:rsidRPr="00F321EA">
      <w:rPr>
        <w:noProof/>
        <w:color w:val="0066CC"/>
        <w:sz w:val="20"/>
        <w:szCs w:val="20"/>
      </w:rPr>
      <w:drawing>
        <wp:inline distT="0" distB="0" distL="0" distR="0" wp14:anchorId="30F7242F" wp14:editId="1433DB18">
          <wp:extent cx="228600" cy="274320"/>
          <wp:effectExtent l="0" t="0" r="0" b="0"/>
          <wp:docPr id="900" name="Picture 90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228600" cy="274320"/>
                  </a:xfrm>
                  <a:prstGeom prst="rect">
                    <a:avLst/>
                  </a:prstGeom>
                  <a:noFill/>
                  <a:ln>
                    <a:noFill/>
                  </a:ln>
                </pic:spPr>
              </pic:pic>
            </a:graphicData>
          </a:graphic>
        </wp:inline>
      </w:drawing>
    </w:r>
    <w:r>
      <w:rPr>
        <w:smallCaps/>
        <w:color w:val="0066CC"/>
        <w:sz w:val="20"/>
      </w:rPr>
      <w:t>Cement Stabilized Sand Backfill</w:t>
    </w:r>
    <w:r>
      <w:rPr>
        <w:smallCaps/>
        <w:color w:val="0066CC"/>
        <w:sz w:val="20"/>
      </w:rPr>
      <w:tab/>
    </w:r>
    <w:r>
      <w:rPr>
        <w:smallCaps/>
        <w:color w:val="0066CC"/>
        <w:sz w:val="20"/>
      </w:rPr>
      <w:tab/>
    </w:r>
    <w:r>
      <w:rPr>
        <w:smallCaps/>
        <w:color w:val="0066CC"/>
        <w:sz w:val="20"/>
      </w:rPr>
      <w:tab/>
    </w:r>
    <w:r>
      <w:rPr>
        <w:smallCaps/>
        <w:color w:val="0066CC"/>
        <w:sz w:val="20"/>
      </w:rPr>
      <w:tab/>
    </w:r>
    <w:r>
      <w:rPr>
        <w:smallCaps/>
        <w:color w:val="0066CC"/>
        <w:sz w:val="20"/>
      </w:rPr>
      <w:tab/>
    </w:r>
    <w:r w:rsidRPr="0025493A">
      <w:rPr>
        <w:smallCaps/>
        <w:color w:val="0066CC"/>
        <w:sz w:val="20"/>
        <w:szCs w:val="20"/>
      </w:rPr>
      <w:t xml:space="preserve">                       </w:t>
    </w:r>
    <w:r>
      <w:rPr>
        <w:smallCaps/>
        <w:color w:val="0066CC"/>
        <w:sz w:val="20"/>
        <w:szCs w:val="20"/>
      </w:rPr>
      <w:t xml:space="preserve">                           </w:t>
    </w:r>
    <w:r>
      <w:rPr>
        <w:smallCaps/>
        <w:color w:val="0066CC"/>
        <w:sz w:val="20"/>
        <w:szCs w:val="20"/>
      </w:rPr>
      <w:t xml:space="preserve">      </w:t>
    </w:r>
    <w:r w:rsidRPr="0025493A">
      <w:rPr>
        <w:smallCaps/>
        <w:color w:val="0066CC"/>
        <w:sz w:val="20"/>
        <w:szCs w:val="20"/>
      </w:rPr>
      <w:t xml:space="preserve"> </w:t>
    </w:r>
    <w:r>
      <w:rPr>
        <w:smallCaps/>
        <w:color w:val="0066CC"/>
        <w:sz w:val="20"/>
        <w:szCs w:val="20"/>
      </w:rPr>
      <w:t xml:space="preserve">  </w:t>
    </w:r>
    <w:r w:rsidRPr="0025493A">
      <w:rPr>
        <w:smallCaps/>
        <w:color w:val="0066CC"/>
        <w:sz w:val="20"/>
        <w:szCs w:val="20"/>
      </w:rPr>
      <w:t xml:space="preserve">6.1 - </w:t>
    </w:r>
    <w:r>
      <w:rPr>
        <w:rStyle w:val="PageNumber"/>
        <w:color w:val="0066CC"/>
        <w:sz w:val="20"/>
        <w:szCs w:val="20"/>
      </w:rPr>
      <w:t>1</w:t>
    </w:r>
  </w:p>
  <w:p w:rsidR="00165665" w:rsidRPr="00353661" w:rsidRDefault="00E03C19" w:rsidP="00207F8D">
    <w:pPr>
      <w:pStyle w:val="Footer"/>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25493A" w:rsidRDefault="00E03C19" w:rsidP="00207F8D">
    <w:pPr>
      <w:pStyle w:val="Footer"/>
      <w:tabs>
        <w:tab w:val="clear" w:pos="4320"/>
        <w:tab w:val="clear" w:pos="8640"/>
      </w:tabs>
      <w:rPr>
        <w:smallCaps/>
        <w:color w:val="0066CC"/>
        <w:sz w:val="20"/>
      </w:rPr>
    </w:pPr>
    <w:r w:rsidRPr="00F321EA">
      <w:rPr>
        <w:noProof/>
        <w:color w:val="0066CC"/>
        <w:sz w:val="20"/>
        <w:szCs w:val="20"/>
      </w:rPr>
      <w:drawing>
        <wp:inline distT="0" distB="0" distL="0" distR="0" wp14:anchorId="2468EE27" wp14:editId="68851E1D">
          <wp:extent cx="228600" cy="274320"/>
          <wp:effectExtent l="0" t="0" r="0" b="0"/>
          <wp:docPr id="901" name="Picture 90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228600" cy="274320"/>
                  </a:xfrm>
                  <a:prstGeom prst="rect">
                    <a:avLst/>
                  </a:prstGeom>
                  <a:noFill/>
                  <a:ln>
                    <a:noFill/>
                  </a:ln>
                </pic:spPr>
              </pic:pic>
            </a:graphicData>
          </a:graphic>
        </wp:inline>
      </w:drawing>
    </w:r>
    <w:r>
      <w:rPr>
        <w:smallCaps/>
        <w:color w:val="0066CC"/>
        <w:sz w:val="20"/>
      </w:rPr>
      <w:t>Cement Stabilized Sand Backfill</w:t>
    </w:r>
    <w:r>
      <w:rPr>
        <w:smallCaps/>
        <w:color w:val="0066CC"/>
        <w:sz w:val="20"/>
      </w:rPr>
      <w:tab/>
    </w:r>
    <w:r>
      <w:rPr>
        <w:smallCaps/>
        <w:color w:val="0066CC"/>
        <w:sz w:val="20"/>
      </w:rPr>
      <w:tab/>
    </w:r>
    <w:r>
      <w:rPr>
        <w:smallCaps/>
        <w:color w:val="0066CC"/>
        <w:sz w:val="20"/>
      </w:rPr>
      <w:tab/>
    </w:r>
    <w:r>
      <w:rPr>
        <w:smallCaps/>
        <w:color w:val="0066CC"/>
        <w:sz w:val="20"/>
      </w:rPr>
      <w:tab/>
    </w:r>
    <w:r>
      <w:rPr>
        <w:smallCaps/>
        <w:color w:val="0066CC"/>
        <w:sz w:val="20"/>
      </w:rPr>
      <w:tab/>
    </w:r>
    <w:r w:rsidRPr="0025493A">
      <w:rPr>
        <w:smallCaps/>
        <w:color w:val="0066CC"/>
        <w:sz w:val="20"/>
        <w:szCs w:val="20"/>
      </w:rPr>
      <w:t xml:space="preserve">                       </w:t>
    </w:r>
    <w:r>
      <w:rPr>
        <w:smallCaps/>
        <w:color w:val="0066CC"/>
        <w:sz w:val="20"/>
        <w:szCs w:val="20"/>
      </w:rPr>
      <w:t xml:space="preserve">                                 </w:t>
    </w:r>
    <w:r w:rsidRPr="0025493A">
      <w:rPr>
        <w:smallCaps/>
        <w:color w:val="0066CC"/>
        <w:sz w:val="20"/>
        <w:szCs w:val="20"/>
      </w:rPr>
      <w:t xml:space="preserve"> </w:t>
    </w:r>
    <w:r>
      <w:rPr>
        <w:smallCaps/>
        <w:color w:val="0066CC"/>
        <w:sz w:val="20"/>
        <w:szCs w:val="20"/>
      </w:rPr>
      <w:t xml:space="preserve">  </w:t>
    </w:r>
    <w:r w:rsidRPr="0025493A">
      <w:rPr>
        <w:smallCaps/>
        <w:color w:val="0066CC"/>
        <w:sz w:val="20"/>
        <w:szCs w:val="20"/>
      </w:rPr>
      <w:t xml:space="preserve">6.1 - </w:t>
    </w:r>
    <w:r>
      <w:rPr>
        <w:rStyle w:val="PageNumber"/>
        <w:color w:val="0066CC"/>
        <w:sz w:val="20"/>
        <w:szCs w:val="20"/>
      </w:rPr>
      <w:t>2</w:t>
    </w:r>
  </w:p>
  <w:p w:rsidR="00165665" w:rsidRPr="00353661" w:rsidRDefault="00E03C19" w:rsidP="00207F8D">
    <w:pPr>
      <w:pStyle w:val="Footer"/>
      <w:rPr>
        <w:szCs w:val="1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F321EA" w:rsidRDefault="00E03C19" w:rsidP="00207F8D">
    <w:pPr>
      <w:pStyle w:val="Header"/>
      <w:tabs>
        <w:tab w:val="clear" w:pos="8640"/>
        <w:tab w:val="right" w:pos="9360"/>
      </w:tabs>
    </w:pPr>
    <w:r w:rsidRPr="00F321EA">
      <w:rPr>
        <w:noProof/>
        <w:color w:val="0066CC"/>
        <w:sz w:val="20"/>
        <w:szCs w:val="20"/>
      </w:rPr>
      <w:drawing>
        <wp:inline distT="0" distB="0" distL="0" distR="0" wp14:anchorId="175D111C" wp14:editId="6866206F">
          <wp:extent cx="228600" cy="274320"/>
          <wp:effectExtent l="0" t="0" r="0" b="0"/>
          <wp:docPr id="899" name="Picture 89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228600" cy="274320"/>
                  </a:xfrm>
                  <a:prstGeom prst="rect">
                    <a:avLst/>
                  </a:prstGeom>
                  <a:noFill/>
                  <a:ln>
                    <a:noFill/>
                  </a:ln>
                </pic:spPr>
              </pic:pic>
            </a:graphicData>
          </a:graphic>
        </wp:inline>
      </w:drawing>
    </w:r>
    <w:r w:rsidRPr="00F321EA">
      <w:rPr>
        <w:color w:val="0066CC"/>
        <w:sz w:val="20"/>
        <w:szCs w:val="20"/>
      </w:rPr>
      <w:t xml:space="preserve"> </w:t>
    </w:r>
    <w:r w:rsidRPr="00F321EA">
      <w:rPr>
        <w:smallCaps/>
        <w:color w:val="0066CC"/>
        <w:sz w:val="20"/>
        <w:szCs w:val="20"/>
      </w:rPr>
      <w:t>DWU Standard Technical Specifications</w:t>
    </w:r>
    <w:r w:rsidRPr="00F321EA">
      <w:rPr>
        <w:smallCaps/>
        <w:color w:val="0066CC"/>
        <w:sz w:val="20"/>
        <w:szCs w:val="20"/>
      </w:rPr>
      <w:tab/>
    </w:r>
    <w:r w:rsidRPr="00F321EA">
      <w:rPr>
        <w:smallCaps/>
        <w:color w:val="0066CC"/>
        <w:sz w:val="20"/>
        <w:szCs w:val="20"/>
      </w:rPr>
      <w:tab/>
    </w:r>
    <w:proofErr w:type="gramStart"/>
    <w:r>
      <w:rPr>
        <w:smallCaps/>
        <w:color w:val="0066CC"/>
        <w:sz w:val="20"/>
        <w:szCs w:val="20"/>
      </w:rPr>
      <w:t>October,</w:t>
    </w:r>
    <w:proofErr w:type="gramEnd"/>
    <w:r>
      <w:rPr>
        <w:smallCaps/>
        <w:color w:val="0066CC"/>
        <w:sz w:val="20"/>
        <w:szCs w:val="20"/>
      </w:rPr>
      <w:t xml:space="preserve"> 2017</w:t>
    </w:r>
  </w:p>
  <w:p w:rsidR="00165665" w:rsidRDefault="00E03C19" w:rsidP="00207F8D">
    <w:pPr>
      <w:pStyle w:val="Header"/>
    </w:pPr>
  </w:p>
  <w:p w:rsidR="00165665" w:rsidRPr="007E2AD9" w:rsidRDefault="00E03C19" w:rsidP="00207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59CF"/>
    <w:multiLevelType w:val="multilevel"/>
    <w:tmpl w:val="371473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6431820"/>
    <w:multiLevelType w:val="multilevel"/>
    <w:tmpl w:val="EE967566"/>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3F624690"/>
    <w:multiLevelType w:val="multilevel"/>
    <w:tmpl w:val="99EC5C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26171B"/>
    <w:multiLevelType w:val="multilevel"/>
    <w:tmpl w:val="252C6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5D37643"/>
    <w:multiLevelType w:val="hybridMultilevel"/>
    <w:tmpl w:val="72302D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19"/>
    <w:rsid w:val="000C525E"/>
    <w:rsid w:val="007A3A45"/>
    <w:rsid w:val="007B1167"/>
    <w:rsid w:val="00C81325"/>
    <w:rsid w:val="00E0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11F3A-57E6-4D74-8E00-6335838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C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3C19"/>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E03C19"/>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E03C1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C19"/>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E03C19"/>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E03C19"/>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E03C19"/>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E03C19"/>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E03C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C19"/>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E03C19"/>
    <w:rPr>
      <w:rFonts w:ascii="Georgia" w:eastAsia="Times New Roman" w:hAnsi="Georgia" w:cs="Arial"/>
      <w:b/>
      <w:bCs/>
      <w:i/>
      <w:iCs/>
      <w:sz w:val="28"/>
      <w:szCs w:val="28"/>
    </w:rPr>
  </w:style>
  <w:style w:type="character" w:customStyle="1" w:styleId="Heading3Char">
    <w:name w:val="Heading 3 Char"/>
    <w:basedOn w:val="DefaultParagraphFont"/>
    <w:link w:val="Heading3"/>
    <w:rsid w:val="00E03C19"/>
    <w:rPr>
      <w:rFonts w:ascii="Arial" w:eastAsia="Times New Roman" w:hAnsi="Arial" w:cs="Arial"/>
      <w:b/>
      <w:bCs/>
      <w:sz w:val="26"/>
      <w:szCs w:val="26"/>
    </w:rPr>
  </w:style>
  <w:style w:type="character" w:customStyle="1" w:styleId="Heading4Char">
    <w:name w:val="Heading 4 Char"/>
    <w:basedOn w:val="DefaultParagraphFont"/>
    <w:link w:val="Heading4"/>
    <w:rsid w:val="00E03C19"/>
    <w:rPr>
      <w:rFonts w:ascii="Georgia" w:eastAsia="Times New Roman" w:hAnsi="Georgia" w:cs="Times New Roman"/>
      <w:b/>
      <w:bCs/>
      <w:sz w:val="28"/>
      <w:szCs w:val="28"/>
    </w:rPr>
  </w:style>
  <w:style w:type="character" w:customStyle="1" w:styleId="Heading5Char">
    <w:name w:val="Heading 5 Char"/>
    <w:basedOn w:val="DefaultParagraphFont"/>
    <w:link w:val="Heading5"/>
    <w:rsid w:val="00E03C19"/>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E03C19"/>
    <w:rPr>
      <w:rFonts w:ascii="Georgia" w:eastAsia="Times New Roman" w:hAnsi="Georgia" w:cs="Times New Roman"/>
      <w:b/>
      <w:bCs/>
    </w:rPr>
  </w:style>
  <w:style w:type="character" w:customStyle="1" w:styleId="Heading7Char">
    <w:name w:val="Heading 7 Char"/>
    <w:basedOn w:val="DefaultParagraphFont"/>
    <w:link w:val="Heading7"/>
    <w:rsid w:val="00E03C19"/>
    <w:rPr>
      <w:rFonts w:ascii="Georgia" w:eastAsia="Times New Roman" w:hAnsi="Georgia" w:cs="Times New Roman"/>
      <w:sz w:val="20"/>
      <w:szCs w:val="24"/>
    </w:rPr>
  </w:style>
  <w:style w:type="character" w:customStyle="1" w:styleId="Heading8Char">
    <w:name w:val="Heading 8 Char"/>
    <w:basedOn w:val="DefaultParagraphFont"/>
    <w:link w:val="Heading8"/>
    <w:rsid w:val="00E03C19"/>
    <w:rPr>
      <w:rFonts w:ascii="Georgia" w:eastAsia="Times New Roman" w:hAnsi="Georgia" w:cs="Times New Roman"/>
      <w:i/>
      <w:iCs/>
      <w:sz w:val="20"/>
      <w:szCs w:val="24"/>
    </w:rPr>
  </w:style>
  <w:style w:type="character" w:customStyle="1" w:styleId="Heading9Char">
    <w:name w:val="Heading 9 Char"/>
    <w:basedOn w:val="DefaultParagraphFont"/>
    <w:link w:val="Heading9"/>
    <w:rsid w:val="00E03C19"/>
    <w:rPr>
      <w:rFonts w:ascii="Arial" w:eastAsia="Times New Roman" w:hAnsi="Arial" w:cs="Arial"/>
    </w:rPr>
  </w:style>
  <w:style w:type="paragraph" w:styleId="Header">
    <w:name w:val="header"/>
    <w:basedOn w:val="Normal"/>
    <w:link w:val="HeaderChar"/>
    <w:rsid w:val="00E03C19"/>
    <w:pPr>
      <w:tabs>
        <w:tab w:val="center" w:pos="4320"/>
        <w:tab w:val="right" w:pos="8640"/>
      </w:tabs>
    </w:pPr>
  </w:style>
  <w:style w:type="character" w:customStyle="1" w:styleId="HeaderChar">
    <w:name w:val="Header Char"/>
    <w:basedOn w:val="DefaultParagraphFont"/>
    <w:link w:val="Header"/>
    <w:rsid w:val="00E03C19"/>
    <w:rPr>
      <w:rFonts w:ascii="Times New Roman" w:eastAsia="Times New Roman" w:hAnsi="Times New Roman" w:cs="Times New Roman"/>
      <w:sz w:val="24"/>
      <w:szCs w:val="24"/>
    </w:rPr>
  </w:style>
  <w:style w:type="paragraph" w:styleId="Footer">
    <w:name w:val="footer"/>
    <w:basedOn w:val="Normal"/>
    <w:link w:val="FooterChar"/>
    <w:rsid w:val="00E03C19"/>
    <w:pPr>
      <w:tabs>
        <w:tab w:val="center" w:pos="4320"/>
        <w:tab w:val="right" w:pos="8640"/>
      </w:tabs>
    </w:pPr>
  </w:style>
  <w:style w:type="character" w:customStyle="1" w:styleId="FooterChar">
    <w:name w:val="Footer Char"/>
    <w:basedOn w:val="DefaultParagraphFont"/>
    <w:link w:val="Footer"/>
    <w:rsid w:val="00E03C19"/>
    <w:rPr>
      <w:rFonts w:ascii="Times New Roman" w:eastAsia="Times New Roman" w:hAnsi="Times New Roman" w:cs="Times New Roman"/>
      <w:sz w:val="24"/>
      <w:szCs w:val="24"/>
    </w:rPr>
  </w:style>
  <w:style w:type="paragraph" w:customStyle="1" w:styleId="Default">
    <w:name w:val="Default"/>
    <w:rsid w:val="00E03C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E03C19"/>
  </w:style>
  <w:style w:type="paragraph" w:styleId="BodyText2">
    <w:name w:val="Body Text 2"/>
    <w:basedOn w:val="Normal"/>
    <w:link w:val="BodyText2Char"/>
    <w:rsid w:val="00E03C19"/>
    <w:pPr>
      <w:widowControl w:val="0"/>
      <w:tabs>
        <w:tab w:val="num" w:pos="720"/>
      </w:tabs>
      <w:spacing w:after="120" w:line="480" w:lineRule="auto"/>
      <w:ind w:left="720" w:hanging="720"/>
    </w:pPr>
    <w:rPr>
      <w:snapToGrid w:val="0"/>
      <w:szCs w:val="20"/>
    </w:rPr>
  </w:style>
  <w:style w:type="character" w:customStyle="1" w:styleId="BodyText2Char">
    <w:name w:val="Body Text 2 Char"/>
    <w:basedOn w:val="DefaultParagraphFont"/>
    <w:link w:val="BodyText2"/>
    <w:rsid w:val="00E03C19"/>
    <w:rPr>
      <w:rFonts w:ascii="Times New Roman" w:eastAsia="Times New Roman" w:hAnsi="Times New Roman" w:cs="Times New Roman"/>
      <w:snapToGrid w:val="0"/>
      <w:sz w:val="24"/>
      <w:szCs w:val="20"/>
    </w:rPr>
  </w:style>
  <w:style w:type="paragraph" w:styleId="BodyText">
    <w:name w:val="Body Text"/>
    <w:basedOn w:val="Normal"/>
    <w:link w:val="BodyTextChar"/>
    <w:rsid w:val="00E03C19"/>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E03C19"/>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0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E4627D-114D-44E6-99C4-2B04804DE211}"/>
</file>

<file path=customXml/itemProps2.xml><?xml version="1.0" encoding="utf-8"?>
<ds:datastoreItem xmlns:ds="http://schemas.openxmlformats.org/officeDocument/2006/customXml" ds:itemID="{D7425FC2-54B9-46C7-B0D4-A6C0989FF10F}"/>
</file>

<file path=customXml/itemProps3.xml><?xml version="1.0" encoding="utf-8"?>
<ds:datastoreItem xmlns:ds="http://schemas.openxmlformats.org/officeDocument/2006/customXml" ds:itemID="{83963742-5DBF-4894-AA7E-7C04441F6741}"/>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2018-06-07T19:55:00Z</dcterms:created>
  <dcterms:modified xsi:type="dcterms:W3CDTF">2018-06-07T19:56:00Z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