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0CB" w:rsidRPr="009B18CB" w:rsidRDefault="00E970CB" w:rsidP="00E970CB">
      <w:pPr>
        <w:pStyle w:val="CM6"/>
        <w:ind w:left="1080" w:hanging="1080"/>
        <w:jc w:val="center"/>
        <w:rPr>
          <w:rFonts w:ascii="Times New Roman" w:hAnsi="Times New Roman"/>
          <w:b/>
          <w:bCs/>
        </w:rPr>
      </w:pPr>
      <w:r w:rsidRPr="009B18CB">
        <w:rPr>
          <w:rFonts w:ascii="Times New Roman" w:hAnsi="Times New Roman"/>
          <w:b/>
          <w:bCs/>
        </w:rPr>
        <w:t xml:space="preserve">SECTION </w:t>
      </w:r>
      <w:r>
        <w:rPr>
          <w:rFonts w:ascii="Times New Roman" w:hAnsi="Times New Roman"/>
          <w:b/>
          <w:bCs/>
        </w:rPr>
        <w:t>5.4</w:t>
      </w:r>
    </w:p>
    <w:p w:rsidR="00E970CB" w:rsidRPr="009B18CB" w:rsidRDefault="00E970CB" w:rsidP="00E970CB">
      <w:pPr>
        <w:pStyle w:val="Default"/>
        <w:rPr>
          <w:color w:val="auto"/>
        </w:rPr>
      </w:pPr>
    </w:p>
    <w:p w:rsidR="00E970CB" w:rsidRPr="009B18CB" w:rsidRDefault="00E970CB" w:rsidP="00E970CB">
      <w:pPr>
        <w:pStyle w:val="CM6"/>
        <w:ind w:left="1080" w:hanging="1080"/>
        <w:jc w:val="center"/>
        <w:rPr>
          <w:rFonts w:ascii="Times New Roman" w:hAnsi="Times New Roman"/>
          <w:b/>
          <w:bCs/>
        </w:rPr>
      </w:pPr>
      <w:r w:rsidRPr="009B18CB">
        <w:rPr>
          <w:rFonts w:ascii="Times New Roman" w:hAnsi="Times New Roman"/>
          <w:b/>
          <w:bCs/>
        </w:rPr>
        <w:t>TECHNICAL SPECIFICATION FOR</w:t>
      </w:r>
    </w:p>
    <w:p w:rsidR="00E970CB" w:rsidRPr="009B18CB" w:rsidRDefault="00E970CB" w:rsidP="00E970CB">
      <w:pPr>
        <w:pStyle w:val="CM6"/>
        <w:jc w:val="center"/>
        <w:rPr>
          <w:rFonts w:ascii="Times New Roman" w:hAnsi="Times New Roman"/>
          <w:b/>
          <w:bCs/>
        </w:rPr>
      </w:pPr>
      <w:bookmarkStart w:id="0" w:name="_GoBack"/>
      <w:r>
        <w:rPr>
          <w:rFonts w:ascii="Times New Roman" w:hAnsi="Times New Roman"/>
          <w:b/>
          <w:bCs/>
        </w:rPr>
        <w:t>MANHOLE FRAME SEAL</w:t>
      </w:r>
      <w:r w:rsidRPr="009B18CB">
        <w:rPr>
          <w:rFonts w:ascii="Times New Roman" w:hAnsi="Times New Roman"/>
          <w:b/>
          <w:bCs/>
        </w:rPr>
        <w:t xml:space="preserve"> </w:t>
      </w:r>
    </w:p>
    <w:bookmarkEnd w:id="0"/>
    <w:p w:rsidR="00E970CB" w:rsidRDefault="00E970CB" w:rsidP="00E970CB">
      <w:pPr>
        <w:pStyle w:val="Default"/>
        <w:rPr>
          <w:color w:val="auto"/>
        </w:rPr>
      </w:pPr>
    </w:p>
    <w:p w:rsidR="00E970CB" w:rsidRPr="009B18CB" w:rsidRDefault="00E970CB" w:rsidP="00E970CB">
      <w:pPr>
        <w:pStyle w:val="Default"/>
        <w:rPr>
          <w:color w:val="auto"/>
        </w:rPr>
      </w:pPr>
    </w:p>
    <w:p w:rsidR="00E970CB" w:rsidRPr="00AB2FCC" w:rsidRDefault="00E970CB" w:rsidP="00E970CB">
      <w:pPr>
        <w:pStyle w:val="CM6"/>
        <w:tabs>
          <w:tab w:val="left" w:pos="1170"/>
        </w:tabs>
        <w:ind w:left="1080" w:hanging="1080"/>
        <w:jc w:val="both"/>
        <w:rPr>
          <w:rFonts w:ascii="Times New Roman" w:hAnsi="Times New Roman"/>
          <w:b/>
        </w:rPr>
      </w:pPr>
      <w:r w:rsidRPr="00AB2FCC">
        <w:rPr>
          <w:rFonts w:ascii="Times New Roman" w:hAnsi="Times New Roman"/>
          <w:b/>
        </w:rPr>
        <w:t>PART 1:</w:t>
      </w:r>
      <w:r w:rsidRPr="00AB2FCC">
        <w:rPr>
          <w:rFonts w:ascii="Times New Roman" w:hAnsi="Times New Roman"/>
          <w:b/>
        </w:rPr>
        <w:tab/>
      </w:r>
      <w:r w:rsidRPr="00AB2FCC">
        <w:rPr>
          <w:rFonts w:ascii="Times New Roman" w:hAnsi="Times New Roman"/>
          <w:b/>
          <w:bCs/>
        </w:rPr>
        <w:t xml:space="preserve">GENERAL </w:t>
      </w:r>
    </w:p>
    <w:p w:rsidR="00E970CB" w:rsidRPr="00AB2FCC" w:rsidRDefault="00E970CB" w:rsidP="00E970CB">
      <w:pPr>
        <w:pStyle w:val="Default"/>
        <w:jc w:val="both"/>
        <w:rPr>
          <w:color w:val="auto"/>
        </w:rPr>
      </w:pPr>
    </w:p>
    <w:p w:rsidR="00E970CB" w:rsidRPr="00AB2FCC" w:rsidRDefault="00E970CB" w:rsidP="00E970CB">
      <w:pPr>
        <w:pStyle w:val="Default"/>
        <w:tabs>
          <w:tab w:val="left" w:pos="1080"/>
        </w:tabs>
        <w:spacing w:after="120"/>
        <w:ind w:left="1080" w:hanging="1080"/>
        <w:jc w:val="both"/>
        <w:rPr>
          <w:b/>
          <w:color w:val="auto"/>
        </w:rPr>
      </w:pPr>
      <w:r w:rsidRPr="00AB2FCC">
        <w:rPr>
          <w:b/>
          <w:color w:val="auto"/>
        </w:rPr>
        <w:t xml:space="preserve">1.1 </w:t>
      </w:r>
      <w:r w:rsidRPr="00AB2FCC">
        <w:rPr>
          <w:b/>
          <w:color w:val="auto"/>
        </w:rPr>
        <w:tab/>
        <w:t xml:space="preserve">Scope of Work </w:t>
      </w:r>
    </w:p>
    <w:p w:rsidR="00E970CB" w:rsidRPr="00AB2FCC" w:rsidRDefault="00E970CB" w:rsidP="00E970CB">
      <w:pPr>
        <w:pStyle w:val="CM6"/>
        <w:ind w:left="1080"/>
        <w:jc w:val="both"/>
        <w:rPr>
          <w:rFonts w:ascii="Times New Roman" w:hAnsi="Times New Roman"/>
        </w:rPr>
      </w:pPr>
      <w:r w:rsidRPr="00AB2FCC">
        <w:rPr>
          <w:rFonts w:ascii="Times New Roman" w:hAnsi="Times New Roman"/>
        </w:rPr>
        <w:t xml:space="preserve">Furnish all materials, labor, equipment, tools, and required incidentals for providing and installing a frame seal and </w:t>
      </w:r>
      <w:r>
        <w:rPr>
          <w:rFonts w:ascii="Times New Roman" w:hAnsi="Times New Roman"/>
        </w:rPr>
        <w:t xml:space="preserve">required </w:t>
      </w:r>
      <w:r w:rsidRPr="00AB2FCC">
        <w:rPr>
          <w:rFonts w:ascii="Times New Roman" w:hAnsi="Times New Roman"/>
        </w:rPr>
        <w:t>extension in all new wastewater manholes.  The frame seal and extension shall span the entire adjustment area of the manhole by connecting to the bottom of the frame casting and top of the manhole cone.</w:t>
      </w:r>
    </w:p>
    <w:p w:rsidR="00E970CB" w:rsidRPr="00AB2FCC" w:rsidRDefault="00E970CB" w:rsidP="00E970CB">
      <w:pPr>
        <w:pStyle w:val="CM6"/>
        <w:ind w:left="415"/>
        <w:jc w:val="both"/>
        <w:rPr>
          <w:rFonts w:ascii="Times New Roman" w:hAnsi="Times New Roman"/>
          <w:b/>
          <w:bCs/>
        </w:rPr>
      </w:pPr>
    </w:p>
    <w:p w:rsidR="00E970CB" w:rsidRPr="00AB2FCC" w:rsidRDefault="00E970CB" w:rsidP="00E970CB">
      <w:pPr>
        <w:pStyle w:val="CM6"/>
        <w:tabs>
          <w:tab w:val="left" w:pos="1170"/>
        </w:tabs>
        <w:spacing w:after="120"/>
        <w:ind w:left="1080" w:hanging="1080"/>
        <w:jc w:val="both"/>
        <w:rPr>
          <w:rFonts w:ascii="Times New Roman" w:hAnsi="Times New Roman"/>
        </w:rPr>
      </w:pPr>
      <w:r w:rsidRPr="00AB2FCC">
        <w:rPr>
          <w:rFonts w:ascii="Times New Roman" w:hAnsi="Times New Roman"/>
          <w:b/>
          <w:bCs/>
        </w:rPr>
        <w:t>1.2</w:t>
      </w:r>
      <w:r w:rsidRPr="00AB2FCC">
        <w:rPr>
          <w:rFonts w:ascii="Times New Roman" w:hAnsi="Times New Roman"/>
          <w:b/>
          <w:bCs/>
        </w:rPr>
        <w:tab/>
        <w:t>Definitions</w:t>
      </w:r>
    </w:p>
    <w:p w:rsidR="00E970CB" w:rsidRPr="00AB2FCC" w:rsidRDefault="00E970CB" w:rsidP="00E970CB">
      <w:pPr>
        <w:pStyle w:val="Default"/>
        <w:numPr>
          <w:ilvl w:val="0"/>
          <w:numId w:val="4"/>
        </w:numPr>
        <w:jc w:val="both"/>
        <w:rPr>
          <w:color w:val="auto"/>
        </w:rPr>
      </w:pPr>
      <w:r w:rsidRPr="00AB2FCC">
        <w:rPr>
          <w:color w:val="auto"/>
        </w:rPr>
        <w:t>Chimney:</w:t>
      </w:r>
    </w:p>
    <w:p w:rsidR="00E970CB" w:rsidRPr="00AB2FCC" w:rsidRDefault="00E970CB" w:rsidP="00E970CB">
      <w:pPr>
        <w:autoSpaceDE w:val="0"/>
        <w:autoSpaceDN w:val="0"/>
        <w:adjustRightInd w:val="0"/>
        <w:spacing w:before="120"/>
        <w:ind w:left="1440"/>
        <w:jc w:val="both"/>
      </w:pPr>
      <w:r w:rsidRPr="00AB2FCC">
        <w:t>The chimney is the cylindrical variable height portion of the manhole which extends from the top of the cone to the base of the manhole frame.</w:t>
      </w:r>
    </w:p>
    <w:p w:rsidR="00E970CB" w:rsidRPr="00AB2FCC" w:rsidRDefault="00E970CB" w:rsidP="00E970CB">
      <w:pPr>
        <w:pStyle w:val="Default"/>
        <w:jc w:val="both"/>
        <w:rPr>
          <w:color w:val="auto"/>
        </w:rPr>
      </w:pPr>
    </w:p>
    <w:p w:rsidR="00E970CB" w:rsidRPr="00AB2FCC" w:rsidRDefault="00E970CB" w:rsidP="00E970CB">
      <w:pPr>
        <w:pStyle w:val="Default"/>
        <w:numPr>
          <w:ilvl w:val="0"/>
          <w:numId w:val="4"/>
        </w:numPr>
        <w:spacing w:after="120"/>
        <w:jc w:val="both"/>
        <w:rPr>
          <w:color w:val="auto"/>
        </w:rPr>
      </w:pPr>
      <w:r w:rsidRPr="00AB2FCC">
        <w:rPr>
          <w:color w:val="auto"/>
        </w:rPr>
        <w:t>Cone:</w:t>
      </w:r>
    </w:p>
    <w:p w:rsidR="00E970CB" w:rsidRDefault="00E970CB" w:rsidP="00E970CB">
      <w:pPr>
        <w:autoSpaceDE w:val="0"/>
        <w:autoSpaceDN w:val="0"/>
        <w:adjustRightInd w:val="0"/>
        <w:ind w:left="1440"/>
        <w:jc w:val="both"/>
      </w:pPr>
      <w:r w:rsidRPr="00AB2FCC">
        <w:t>The Cone is the inclined portion of the manhole structure which slopes upward and inward from the barrel of the manhole to the required chimney or frame diameter.</w:t>
      </w:r>
    </w:p>
    <w:p w:rsidR="00E970CB" w:rsidRDefault="00E970CB" w:rsidP="00E970CB">
      <w:pPr>
        <w:autoSpaceDE w:val="0"/>
        <w:autoSpaceDN w:val="0"/>
        <w:adjustRightInd w:val="0"/>
        <w:ind w:hanging="1080"/>
        <w:jc w:val="both"/>
      </w:pPr>
    </w:p>
    <w:p w:rsidR="00E970CB" w:rsidRPr="006451BD" w:rsidRDefault="00E970CB" w:rsidP="00E970CB">
      <w:pPr>
        <w:autoSpaceDE w:val="0"/>
        <w:autoSpaceDN w:val="0"/>
        <w:adjustRightInd w:val="0"/>
        <w:spacing w:after="120"/>
        <w:ind w:left="1080" w:hanging="1080"/>
        <w:jc w:val="both"/>
        <w:rPr>
          <w:b/>
        </w:rPr>
      </w:pPr>
      <w:r>
        <w:rPr>
          <w:b/>
        </w:rPr>
        <w:t>1.3</w:t>
      </w:r>
      <w:r w:rsidRPr="006451BD">
        <w:rPr>
          <w:b/>
        </w:rPr>
        <w:tab/>
        <w:t>Acceptable Manufacturers</w:t>
      </w:r>
    </w:p>
    <w:p w:rsidR="00E970CB" w:rsidRPr="00AB2FCC" w:rsidRDefault="00E970CB" w:rsidP="00E970CB">
      <w:pPr>
        <w:autoSpaceDE w:val="0"/>
        <w:autoSpaceDN w:val="0"/>
        <w:adjustRightInd w:val="0"/>
        <w:ind w:left="1080"/>
        <w:jc w:val="both"/>
      </w:pPr>
      <w:r>
        <w:t xml:space="preserve">Internal Chimney Seal by </w:t>
      </w:r>
      <w:proofErr w:type="spellStart"/>
      <w:r w:rsidRPr="00AB2FCC">
        <w:t>Cretex</w:t>
      </w:r>
      <w:proofErr w:type="spellEnd"/>
      <w:r w:rsidRPr="00AB2FCC">
        <w:t xml:space="preserve"> Specialty Products</w:t>
      </w:r>
      <w:r>
        <w:t xml:space="preserve"> or approved equal.</w:t>
      </w:r>
    </w:p>
    <w:p w:rsidR="00E970CB" w:rsidRPr="00AB2FCC" w:rsidRDefault="00E970CB" w:rsidP="00E970CB">
      <w:pPr>
        <w:pStyle w:val="CM6"/>
        <w:tabs>
          <w:tab w:val="left" w:pos="1080"/>
          <w:tab w:val="left" w:pos="1170"/>
        </w:tabs>
        <w:spacing w:after="120"/>
        <w:ind w:left="1080" w:hanging="1080"/>
        <w:jc w:val="both"/>
        <w:rPr>
          <w:rFonts w:ascii="Times New Roman" w:hAnsi="Times New Roman"/>
          <w:b/>
          <w:bCs/>
        </w:rPr>
      </w:pPr>
    </w:p>
    <w:p w:rsidR="00E970CB" w:rsidRPr="00AB2FCC" w:rsidRDefault="00E970CB" w:rsidP="00E970CB">
      <w:pPr>
        <w:pStyle w:val="CM6"/>
        <w:tabs>
          <w:tab w:val="left" w:pos="1080"/>
          <w:tab w:val="left" w:pos="1170"/>
        </w:tabs>
        <w:ind w:left="1080" w:hanging="1080"/>
        <w:jc w:val="both"/>
        <w:rPr>
          <w:rFonts w:ascii="Times New Roman" w:hAnsi="Times New Roman"/>
          <w:b/>
          <w:bCs/>
        </w:rPr>
      </w:pPr>
      <w:r w:rsidRPr="00AB2FCC">
        <w:rPr>
          <w:rFonts w:ascii="Times New Roman" w:hAnsi="Times New Roman"/>
          <w:b/>
          <w:bCs/>
        </w:rPr>
        <w:t>PART 2:</w:t>
      </w:r>
      <w:r w:rsidRPr="00AB2FCC">
        <w:rPr>
          <w:rFonts w:ascii="Times New Roman" w:hAnsi="Times New Roman"/>
          <w:b/>
          <w:bCs/>
        </w:rPr>
        <w:tab/>
        <w:t>QUALITY ASSURANCE</w:t>
      </w:r>
    </w:p>
    <w:p w:rsidR="00E970CB" w:rsidRPr="00AB2FCC" w:rsidRDefault="00E970CB" w:rsidP="00E970CB">
      <w:pPr>
        <w:pStyle w:val="Default"/>
        <w:jc w:val="both"/>
        <w:rPr>
          <w:color w:val="auto"/>
        </w:rPr>
      </w:pPr>
    </w:p>
    <w:p w:rsidR="00E970CB" w:rsidRPr="00AB2FCC" w:rsidRDefault="00E970CB" w:rsidP="00E970CB">
      <w:pPr>
        <w:pStyle w:val="CM6"/>
        <w:tabs>
          <w:tab w:val="left" w:pos="1080"/>
          <w:tab w:val="left" w:pos="1170"/>
        </w:tabs>
        <w:ind w:left="1080" w:hanging="1080"/>
        <w:jc w:val="both"/>
        <w:rPr>
          <w:rFonts w:ascii="Times New Roman" w:hAnsi="Times New Roman"/>
        </w:rPr>
      </w:pPr>
      <w:r w:rsidRPr="00AB2FCC">
        <w:rPr>
          <w:rFonts w:ascii="Times New Roman" w:hAnsi="Times New Roman"/>
          <w:b/>
          <w:bCs/>
        </w:rPr>
        <w:t>2.1</w:t>
      </w:r>
      <w:r w:rsidRPr="00AB2FCC">
        <w:rPr>
          <w:rFonts w:ascii="Times New Roman" w:hAnsi="Times New Roman"/>
          <w:b/>
          <w:bCs/>
        </w:rPr>
        <w:tab/>
        <w:t>Reference Standards</w:t>
      </w:r>
    </w:p>
    <w:p w:rsidR="00E970CB" w:rsidRPr="00AB2FCC" w:rsidRDefault="00E970CB" w:rsidP="00E970CB">
      <w:pPr>
        <w:pStyle w:val="Heading3"/>
        <w:numPr>
          <w:ilvl w:val="0"/>
          <w:numId w:val="0"/>
        </w:numPr>
        <w:tabs>
          <w:tab w:val="left" w:pos="1080"/>
        </w:tabs>
        <w:spacing w:before="120" w:after="120"/>
        <w:ind w:left="1080"/>
        <w:jc w:val="both"/>
        <w:rPr>
          <w:rFonts w:ascii="Times New Roman" w:hAnsi="Times New Roman" w:cs="Times New Roman"/>
          <w:b w:val="0"/>
          <w:sz w:val="24"/>
          <w:szCs w:val="24"/>
        </w:rPr>
      </w:pPr>
      <w:r w:rsidRPr="00AB2FCC">
        <w:rPr>
          <w:rFonts w:ascii="Times New Roman" w:hAnsi="Times New Roman" w:cs="Times New Roman"/>
          <w:b w:val="0"/>
          <w:sz w:val="24"/>
          <w:szCs w:val="24"/>
        </w:rPr>
        <w:t>Unless otherwise stated, the latest editions of the following documents are applicable</w:t>
      </w:r>
    </w:p>
    <w:p w:rsidR="00E970CB" w:rsidRPr="00AB2FCC" w:rsidRDefault="00E970CB" w:rsidP="00E970CB">
      <w:pPr>
        <w:autoSpaceDE w:val="0"/>
        <w:autoSpaceDN w:val="0"/>
        <w:adjustRightInd w:val="0"/>
        <w:ind w:left="1080"/>
        <w:jc w:val="both"/>
        <w:rPr>
          <w:bCs/>
        </w:rPr>
      </w:pPr>
      <w:r w:rsidRPr="00AB2FCC">
        <w:rPr>
          <w:bCs/>
        </w:rPr>
        <w:t>for this specification:</w:t>
      </w:r>
    </w:p>
    <w:p w:rsidR="00E970CB" w:rsidRDefault="00E970CB" w:rsidP="00E970CB">
      <w:pPr>
        <w:pStyle w:val="Heading2"/>
        <w:numPr>
          <w:ilvl w:val="0"/>
          <w:numId w:val="0"/>
        </w:numPr>
        <w:spacing w:before="0" w:after="0"/>
        <w:ind w:left="1080"/>
        <w:jc w:val="both"/>
        <w:rPr>
          <w:rFonts w:ascii="Times New Roman" w:hAnsi="Times New Roman" w:cs="Times New Roman"/>
          <w:b w:val="0"/>
          <w:i w:val="0"/>
          <w:sz w:val="24"/>
          <w:szCs w:val="24"/>
        </w:rPr>
      </w:pPr>
    </w:p>
    <w:p w:rsidR="00E970CB" w:rsidRPr="00AB2FCC" w:rsidRDefault="00E970CB" w:rsidP="00E970CB">
      <w:pPr>
        <w:pStyle w:val="Heading2"/>
        <w:numPr>
          <w:ilvl w:val="0"/>
          <w:numId w:val="0"/>
        </w:numPr>
        <w:spacing w:before="0" w:after="0"/>
        <w:ind w:left="1080"/>
        <w:rPr>
          <w:rFonts w:ascii="Times New Roman" w:hAnsi="Times New Roman" w:cs="Times New Roman"/>
          <w:b w:val="0"/>
          <w:i w:val="0"/>
          <w:color w:val="333333"/>
          <w:sz w:val="24"/>
          <w:szCs w:val="24"/>
          <w:shd w:val="clear" w:color="auto" w:fill="FFFFFF"/>
        </w:rPr>
      </w:pPr>
      <w:r w:rsidRPr="00AB2FCC">
        <w:rPr>
          <w:rFonts w:ascii="Times New Roman" w:hAnsi="Times New Roman" w:cs="Times New Roman"/>
          <w:b w:val="0"/>
          <w:i w:val="0"/>
          <w:sz w:val="24"/>
          <w:szCs w:val="24"/>
        </w:rPr>
        <w:t>ASTM C923</w:t>
      </w:r>
      <w:r w:rsidRPr="00AB2FCC">
        <w:rPr>
          <w:rFonts w:ascii="Times New Roman" w:hAnsi="Times New Roman" w:cs="Times New Roman"/>
          <w:b w:val="0"/>
          <w:i w:val="0"/>
          <w:sz w:val="24"/>
          <w:szCs w:val="24"/>
        </w:rPr>
        <w:tab/>
      </w:r>
      <w:r w:rsidRPr="00AB2FCC">
        <w:rPr>
          <w:rFonts w:ascii="Times New Roman" w:hAnsi="Times New Roman" w:cs="Times New Roman"/>
          <w:b w:val="0"/>
          <w:i w:val="0"/>
          <w:color w:val="333333"/>
          <w:sz w:val="24"/>
          <w:szCs w:val="24"/>
          <w:shd w:val="clear" w:color="auto" w:fill="FFFFFF"/>
        </w:rPr>
        <w:t xml:space="preserve">Standard Specification for Resilient Connectors Between </w:t>
      </w:r>
      <w:r>
        <w:rPr>
          <w:rFonts w:ascii="Times New Roman" w:hAnsi="Times New Roman" w:cs="Times New Roman"/>
          <w:b w:val="0"/>
          <w:i w:val="0"/>
          <w:color w:val="333333"/>
          <w:sz w:val="24"/>
          <w:szCs w:val="24"/>
          <w:shd w:val="clear" w:color="auto" w:fill="FFFFFF"/>
        </w:rPr>
        <w:tab/>
      </w:r>
      <w:r>
        <w:rPr>
          <w:rFonts w:ascii="Times New Roman" w:hAnsi="Times New Roman" w:cs="Times New Roman"/>
          <w:b w:val="0"/>
          <w:i w:val="0"/>
          <w:color w:val="333333"/>
          <w:sz w:val="24"/>
          <w:szCs w:val="24"/>
          <w:shd w:val="clear" w:color="auto" w:fill="FFFFFF"/>
        </w:rPr>
        <w:tab/>
      </w:r>
      <w:r>
        <w:rPr>
          <w:rFonts w:ascii="Times New Roman" w:hAnsi="Times New Roman" w:cs="Times New Roman"/>
          <w:b w:val="0"/>
          <w:i w:val="0"/>
          <w:color w:val="333333"/>
          <w:sz w:val="24"/>
          <w:szCs w:val="24"/>
          <w:shd w:val="clear" w:color="auto" w:fill="FFFFFF"/>
        </w:rPr>
        <w:tab/>
      </w:r>
      <w:r>
        <w:rPr>
          <w:rFonts w:ascii="Times New Roman" w:hAnsi="Times New Roman" w:cs="Times New Roman"/>
          <w:b w:val="0"/>
          <w:i w:val="0"/>
          <w:color w:val="333333"/>
          <w:sz w:val="24"/>
          <w:szCs w:val="24"/>
          <w:shd w:val="clear" w:color="auto" w:fill="FFFFFF"/>
        </w:rPr>
        <w:tab/>
      </w:r>
      <w:r w:rsidRPr="00AB2FCC">
        <w:rPr>
          <w:rFonts w:ascii="Times New Roman" w:hAnsi="Times New Roman" w:cs="Times New Roman"/>
          <w:b w:val="0"/>
          <w:i w:val="0"/>
          <w:color w:val="333333"/>
          <w:sz w:val="24"/>
          <w:szCs w:val="24"/>
          <w:shd w:val="clear" w:color="auto" w:fill="FFFFFF"/>
        </w:rPr>
        <w:t>Reinforced Concrete Manhole Structures, Pipes, and Laterals</w:t>
      </w:r>
    </w:p>
    <w:p w:rsidR="00E970CB" w:rsidRPr="00AB2FCC" w:rsidRDefault="00E970CB" w:rsidP="00E970CB">
      <w:pPr>
        <w:jc w:val="both"/>
      </w:pPr>
    </w:p>
    <w:p w:rsidR="00E970CB" w:rsidRPr="00F04735" w:rsidRDefault="00E970CB" w:rsidP="00E970CB">
      <w:pPr>
        <w:pStyle w:val="Heading2"/>
        <w:numPr>
          <w:ilvl w:val="0"/>
          <w:numId w:val="0"/>
        </w:numPr>
        <w:spacing w:before="0" w:after="0"/>
        <w:ind w:left="1080"/>
        <w:jc w:val="both"/>
        <w:rPr>
          <w:rFonts w:ascii="Times New Roman" w:hAnsi="Times New Roman" w:cs="Times New Roman"/>
          <w:b w:val="0"/>
          <w:i w:val="0"/>
          <w:sz w:val="24"/>
          <w:szCs w:val="24"/>
          <w:shd w:val="clear" w:color="auto" w:fill="FFFFFF"/>
        </w:rPr>
      </w:pPr>
      <w:r w:rsidRPr="00F04735">
        <w:rPr>
          <w:rFonts w:ascii="Times New Roman" w:hAnsi="Times New Roman" w:cs="Times New Roman"/>
          <w:b w:val="0"/>
          <w:i w:val="0"/>
          <w:sz w:val="24"/>
          <w:szCs w:val="24"/>
          <w:shd w:val="clear" w:color="auto" w:fill="FFFFFF"/>
        </w:rPr>
        <w:t xml:space="preserve">ASTM F593 </w:t>
      </w:r>
      <w:r w:rsidRPr="00F04735">
        <w:rPr>
          <w:rFonts w:ascii="Times New Roman" w:hAnsi="Times New Roman" w:cs="Times New Roman"/>
          <w:b w:val="0"/>
          <w:i w:val="0"/>
          <w:sz w:val="24"/>
          <w:szCs w:val="24"/>
          <w:shd w:val="clear" w:color="auto" w:fill="FFFFFF"/>
        </w:rPr>
        <w:tab/>
        <w:t xml:space="preserve">Standard Specification for Stainless Steel Bolts, Hex Cap Screws, </w:t>
      </w:r>
      <w:r>
        <w:rPr>
          <w:rFonts w:ascii="Times New Roman" w:hAnsi="Times New Roman" w:cs="Times New Roman"/>
          <w:b w:val="0"/>
          <w:i w:val="0"/>
          <w:sz w:val="24"/>
          <w:szCs w:val="24"/>
          <w:shd w:val="clear" w:color="auto" w:fill="FFFFFF"/>
        </w:rPr>
        <w:tab/>
      </w:r>
      <w:r>
        <w:rPr>
          <w:rFonts w:ascii="Times New Roman" w:hAnsi="Times New Roman" w:cs="Times New Roman"/>
          <w:b w:val="0"/>
          <w:i w:val="0"/>
          <w:sz w:val="24"/>
          <w:szCs w:val="24"/>
          <w:shd w:val="clear" w:color="auto" w:fill="FFFFFF"/>
        </w:rPr>
        <w:tab/>
      </w:r>
      <w:r>
        <w:rPr>
          <w:rFonts w:ascii="Times New Roman" w:hAnsi="Times New Roman" w:cs="Times New Roman"/>
          <w:b w:val="0"/>
          <w:i w:val="0"/>
          <w:sz w:val="24"/>
          <w:szCs w:val="24"/>
          <w:shd w:val="clear" w:color="auto" w:fill="FFFFFF"/>
        </w:rPr>
        <w:tab/>
      </w:r>
      <w:r w:rsidRPr="00F04735">
        <w:rPr>
          <w:rFonts w:ascii="Times New Roman" w:hAnsi="Times New Roman" w:cs="Times New Roman"/>
          <w:b w:val="0"/>
          <w:i w:val="0"/>
          <w:sz w:val="24"/>
          <w:szCs w:val="24"/>
          <w:shd w:val="clear" w:color="auto" w:fill="FFFFFF"/>
        </w:rPr>
        <w:t>and Studs</w:t>
      </w:r>
    </w:p>
    <w:p w:rsidR="00E970CB" w:rsidRPr="00F04735" w:rsidRDefault="00E970CB" w:rsidP="00E970CB">
      <w:pPr>
        <w:ind w:left="2880" w:hanging="1800"/>
        <w:jc w:val="both"/>
      </w:pPr>
    </w:p>
    <w:p w:rsidR="00E970CB" w:rsidRDefault="00E970CB" w:rsidP="00E970CB">
      <w:pPr>
        <w:pStyle w:val="Heading2"/>
        <w:numPr>
          <w:ilvl w:val="0"/>
          <w:numId w:val="0"/>
        </w:numPr>
        <w:spacing w:before="0" w:after="0"/>
        <w:ind w:left="1080"/>
        <w:jc w:val="both"/>
        <w:rPr>
          <w:rFonts w:ascii="Times New Roman" w:hAnsi="Times New Roman" w:cs="Times New Roman"/>
          <w:b w:val="0"/>
          <w:i w:val="0"/>
          <w:sz w:val="24"/>
          <w:szCs w:val="24"/>
          <w:shd w:val="clear" w:color="auto" w:fill="FFFFFF"/>
        </w:rPr>
      </w:pPr>
      <w:r w:rsidRPr="00F04735">
        <w:rPr>
          <w:rFonts w:ascii="Times New Roman" w:hAnsi="Times New Roman" w:cs="Times New Roman"/>
          <w:b w:val="0"/>
          <w:i w:val="0"/>
          <w:sz w:val="24"/>
          <w:szCs w:val="24"/>
          <w:shd w:val="clear" w:color="auto" w:fill="FFFFFF"/>
        </w:rPr>
        <w:t xml:space="preserve">ASTM F594 </w:t>
      </w:r>
      <w:r w:rsidRPr="00F04735">
        <w:rPr>
          <w:rFonts w:ascii="Times New Roman" w:hAnsi="Times New Roman" w:cs="Times New Roman"/>
          <w:b w:val="0"/>
          <w:i w:val="0"/>
          <w:sz w:val="24"/>
          <w:szCs w:val="24"/>
          <w:shd w:val="clear" w:color="auto" w:fill="FFFFFF"/>
        </w:rPr>
        <w:tab/>
        <w:t>Standard Specification for Stainless Steel Nuts</w:t>
      </w:r>
    </w:p>
    <w:p w:rsidR="00E970CB" w:rsidRPr="00F7139C" w:rsidRDefault="00E970CB" w:rsidP="00E970CB"/>
    <w:p w:rsidR="00E970CB" w:rsidRDefault="00E970CB" w:rsidP="00E970CB">
      <w:pPr>
        <w:ind w:left="1080"/>
        <w:jc w:val="both"/>
        <w:sectPr w:rsidR="00E970CB" w:rsidSect="008D5969">
          <w:headerReference w:type="default" r:id="rId7"/>
          <w:footerReference w:type="default" r:id="rId8"/>
          <w:pgSz w:w="12240" w:h="15840"/>
          <w:pgMar w:top="1440" w:right="1620" w:bottom="1440" w:left="1440" w:header="720" w:footer="938" w:gutter="0"/>
          <w:pgNumType w:start="1"/>
          <w:cols w:space="720"/>
          <w:docGrid w:linePitch="360"/>
        </w:sectPr>
      </w:pPr>
    </w:p>
    <w:p w:rsidR="00E970CB" w:rsidRPr="00AB2FCC" w:rsidRDefault="00E970CB" w:rsidP="00E970CB">
      <w:pPr>
        <w:ind w:left="1080"/>
        <w:jc w:val="both"/>
      </w:pPr>
    </w:p>
    <w:p w:rsidR="00E970CB" w:rsidRPr="00AB2FCC" w:rsidRDefault="00E970CB" w:rsidP="00E970CB">
      <w:pPr>
        <w:pStyle w:val="BodyText"/>
        <w:numPr>
          <w:ilvl w:val="1"/>
          <w:numId w:val="2"/>
        </w:numPr>
        <w:tabs>
          <w:tab w:val="left" w:pos="1080"/>
        </w:tabs>
        <w:jc w:val="both"/>
        <w:rPr>
          <w:b/>
          <w:szCs w:val="24"/>
        </w:rPr>
      </w:pPr>
      <w:r w:rsidRPr="00AB2FCC">
        <w:rPr>
          <w:b/>
          <w:szCs w:val="24"/>
        </w:rPr>
        <w:t>Warranty</w:t>
      </w:r>
    </w:p>
    <w:p w:rsidR="00E970CB" w:rsidRPr="00AB2FCC" w:rsidRDefault="00E970CB" w:rsidP="00E970CB">
      <w:pPr>
        <w:pStyle w:val="BodyText"/>
        <w:numPr>
          <w:ilvl w:val="2"/>
          <w:numId w:val="3"/>
        </w:numPr>
        <w:tabs>
          <w:tab w:val="clear" w:pos="360"/>
          <w:tab w:val="num" w:pos="1440"/>
        </w:tabs>
        <w:ind w:left="1440"/>
        <w:jc w:val="both"/>
        <w:rPr>
          <w:szCs w:val="24"/>
        </w:rPr>
      </w:pPr>
      <w:r w:rsidRPr="00AB2FCC">
        <w:rPr>
          <w:szCs w:val="24"/>
        </w:rPr>
        <w:t xml:space="preserve">A one-year warranty for the manhole frame seal shall be included from the Contractor, and shall cover the cost of replacement and freight to project site, should the </w:t>
      </w:r>
      <w:r>
        <w:rPr>
          <w:szCs w:val="24"/>
        </w:rPr>
        <w:t>frame seal</w:t>
      </w:r>
      <w:r w:rsidRPr="00AB2FCC">
        <w:rPr>
          <w:szCs w:val="24"/>
        </w:rPr>
        <w:t xml:space="preserve"> ha</w:t>
      </w:r>
      <w:r>
        <w:rPr>
          <w:szCs w:val="24"/>
        </w:rPr>
        <w:t>ve</w:t>
      </w:r>
      <w:r w:rsidRPr="00AB2FCC">
        <w:rPr>
          <w:szCs w:val="24"/>
        </w:rPr>
        <w:t xml:space="preserve"> any defects in material or workmanship.</w:t>
      </w:r>
    </w:p>
    <w:p w:rsidR="00E970CB" w:rsidRPr="00AB2FCC" w:rsidRDefault="00E970CB" w:rsidP="00E970CB">
      <w:pPr>
        <w:pStyle w:val="BodyText"/>
        <w:numPr>
          <w:ilvl w:val="2"/>
          <w:numId w:val="3"/>
        </w:numPr>
        <w:tabs>
          <w:tab w:val="clear" w:pos="360"/>
          <w:tab w:val="num" w:pos="1440"/>
          <w:tab w:val="num" w:pos="4500"/>
        </w:tabs>
        <w:ind w:left="1440"/>
        <w:jc w:val="both"/>
        <w:rPr>
          <w:szCs w:val="24"/>
        </w:rPr>
      </w:pPr>
      <w:r w:rsidRPr="00AB2FCC">
        <w:rPr>
          <w:szCs w:val="24"/>
        </w:rPr>
        <w:t>Unless otherwise specified, the warranty periods shall begin after the Certificate of Acceptance is issued for the Contract.</w:t>
      </w:r>
    </w:p>
    <w:p w:rsidR="00E970CB" w:rsidRPr="00AB2FCC" w:rsidRDefault="00E970CB" w:rsidP="00E970CB">
      <w:pPr>
        <w:pStyle w:val="CM3"/>
        <w:spacing w:line="240" w:lineRule="auto"/>
        <w:ind w:left="1080" w:hanging="1080"/>
        <w:jc w:val="both"/>
        <w:rPr>
          <w:rFonts w:ascii="Times New Roman" w:hAnsi="Times New Roman"/>
          <w:b/>
          <w:bCs/>
        </w:rPr>
      </w:pPr>
    </w:p>
    <w:p w:rsidR="00E970CB" w:rsidRPr="00AB2FCC" w:rsidRDefault="00E970CB" w:rsidP="00E970CB">
      <w:pPr>
        <w:pStyle w:val="CM3"/>
        <w:spacing w:after="120" w:line="240" w:lineRule="auto"/>
        <w:ind w:left="1080" w:hanging="1080"/>
        <w:jc w:val="both"/>
        <w:rPr>
          <w:rFonts w:ascii="Times New Roman" w:hAnsi="Times New Roman"/>
          <w:b/>
          <w:bCs/>
        </w:rPr>
      </w:pPr>
      <w:r w:rsidRPr="00AB2FCC">
        <w:rPr>
          <w:rFonts w:ascii="Times New Roman" w:hAnsi="Times New Roman"/>
          <w:b/>
          <w:bCs/>
        </w:rPr>
        <w:t>PART 3</w:t>
      </w:r>
      <w:r>
        <w:rPr>
          <w:rFonts w:ascii="Times New Roman" w:hAnsi="Times New Roman"/>
          <w:b/>
          <w:bCs/>
        </w:rPr>
        <w:t>:</w:t>
      </w:r>
      <w:r w:rsidRPr="00AB2FCC">
        <w:rPr>
          <w:rFonts w:ascii="Times New Roman" w:hAnsi="Times New Roman"/>
          <w:b/>
          <w:bCs/>
        </w:rPr>
        <w:tab/>
        <w:t>PRODUCTS</w:t>
      </w:r>
    </w:p>
    <w:p w:rsidR="00E970CB" w:rsidRPr="00AB2FCC" w:rsidRDefault="00E970CB" w:rsidP="00E970CB">
      <w:pPr>
        <w:numPr>
          <w:ilvl w:val="1"/>
          <w:numId w:val="5"/>
        </w:numPr>
        <w:tabs>
          <w:tab w:val="clear" w:pos="360"/>
          <w:tab w:val="num" w:pos="1080"/>
        </w:tabs>
        <w:autoSpaceDE w:val="0"/>
        <w:autoSpaceDN w:val="0"/>
        <w:adjustRightInd w:val="0"/>
        <w:spacing w:after="120"/>
        <w:ind w:left="1080" w:hanging="1080"/>
        <w:jc w:val="both"/>
        <w:rPr>
          <w:b/>
        </w:rPr>
      </w:pPr>
      <w:r>
        <w:rPr>
          <w:b/>
        </w:rPr>
        <w:t>General</w:t>
      </w:r>
    </w:p>
    <w:p w:rsidR="00E970CB" w:rsidRDefault="00E970CB" w:rsidP="00E970CB">
      <w:pPr>
        <w:autoSpaceDE w:val="0"/>
        <w:autoSpaceDN w:val="0"/>
        <w:adjustRightInd w:val="0"/>
        <w:spacing w:after="120"/>
        <w:ind w:left="1080"/>
        <w:jc w:val="both"/>
      </w:pPr>
      <w:r w:rsidRPr="00AB2FCC">
        <w:t>The manhole frame seal shall be designed to prevent leakage of water through the manhole f</w:t>
      </w:r>
      <w:r>
        <w:t>r</w:t>
      </w:r>
      <w:r w:rsidRPr="00AB2FCC">
        <w:t>ame throughout a 50</w:t>
      </w:r>
      <w:r>
        <w:t>-</w:t>
      </w:r>
      <w:r w:rsidRPr="00AB2FCC">
        <w:t xml:space="preserve">year design life.  </w:t>
      </w:r>
      <w:r>
        <w:t>I</w:t>
      </w:r>
      <w:r w:rsidRPr="00AB2FCC">
        <w:t xml:space="preserve">t shall </w:t>
      </w:r>
      <w:r>
        <w:t xml:space="preserve">also </w:t>
      </w:r>
      <w:proofErr w:type="gramStart"/>
      <w:r w:rsidRPr="00AB2FCC">
        <w:t xml:space="preserve">be capable of </w:t>
      </w:r>
      <w:r>
        <w:t>allowing</w:t>
      </w:r>
      <w:proofErr w:type="gramEnd"/>
      <w:r>
        <w:t xml:space="preserve"> </w:t>
      </w:r>
      <w:r w:rsidRPr="00AB2FCC">
        <w:t xml:space="preserve">repeated vertical movement of not less than 2 inches and/or repeated horizontal movement of not less than 1/2 inch after installation and throughout its design life.  </w:t>
      </w:r>
    </w:p>
    <w:p w:rsidR="00E970CB" w:rsidRPr="00AB2FCC" w:rsidRDefault="00E970CB" w:rsidP="00E970CB">
      <w:pPr>
        <w:autoSpaceDE w:val="0"/>
        <w:autoSpaceDN w:val="0"/>
        <w:adjustRightInd w:val="0"/>
        <w:spacing w:after="120"/>
        <w:ind w:left="1080"/>
        <w:jc w:val="both"/>
      </w:pPr>
      <w:r w:rsidRPr="00AB2FCC">
        <w:t xml:space="preserve">Frame seals shall consist of a flexible internal rubber sleeve, extensions and </w:t>
      </w:r>
      <w:proofErr w:type="gramStart"/>
      <w:r w:rsidRPr="00AB2FCC">
        <w:t>stainless steel</w:t>
      </w:r>
      <w:proofErr w:type="gramEnd"/>
      <w:r w:rsidRPr="00AB2FCC">
        <w:t xml:space="preserve"> expansion bands, all conforming to the following requirements: </w:t>
      </w:r>
    </w:p>
    <w:p w:rsidR="00E970CB" w:rsidRPr="00AB2FCC" w:rsidRDefault="00E970CB" w:rsidP="00E970CB">
      <w:pPr>
        <w:pStyle w:val="CM3"/>
        <w:spacing w:line="240" w:lineRule="auto"/>
        <w:ind w:left="1080" w:hanging="1080"/>
        <w:jc w:val="both"/>
        <w:rPr>
          <w:rFonts w:ascii="Times New Roman" w:hAnsi="Times New Roman"/>
          <w:b/>
        </w:rPr>
      </w:pPr>
    </w:p>
    <w:p w:rsidR="00E970CB" w:rsidRPr="00AB2FCC" w:rsidRDefault="00E970CB" w:rsidP="00E970CB">
      <w:pPr>
        <w:autoSpaceDE w:val="0"/>
        <w:autoSpaceDN w:val="0"/>
        <w:adjustRightInd w:val="0"/>
        <w:spacing w:after="120"/>
        <w:ind w:left="1080" w:hanging="1080"/>
        <w:jc w:val="both"/>
        <w:rPr>
          <w:b/>
        </w:rPr>
      </w:pPr>
      <w:proofErr w:type="gramStart"/>
      <w:r w:rsidRPr="00AB2FCC">
        <w:rPr>
          <w:b/>
        </w:rPr>
        <w:t xml:space="preserve">3.2  </w:t>
      </w:r>
      <w:r w:rsidRPr="00AB2FCC">
        <w:rPr>
          <w:b/>
        </w:rPr>
        <w:tab/>
      </w:r>
      <w:proofErr w:type="gramEnd"/>
      <w:r w:rsidRPr="00AB2FCC">
        <w:rPr>
          <w:b/>
        </w:rPr>
        <w:t>Rubber Sleeve and Extension</w:t>
      </w:r>
    </w:p>
    <w:p w:rsidR="00E970CB" w:rsidRPr="00AB2FCC" w:rsidRDefault="00E970CB" w:rsidP="00E970CB">
      <w:pPr>
        <w:autoSpaceDE w:val="0"/>
        <w:autoSpaceDN w:val="0"/>
        <w:adjustRightInd w:val="0"/>
        <w:ind w:left="1080"/>
        <w:jc w:val="both"/>
      </w:pPr>
      <w:r w:rsidRPr="00AB2FCC">
        <w:t xml:space="preserve">The flexible rubber sleeve and extensions shall be extruded or molded from a </w:t>
      </w:r>
      <w:proofErr w:type="gramStart"/>
      <w:r w:rsidRPr="00AB2FCC">
        <w:t>high grade</w:t>
      </w:r>
      <w:proofErr w:type="gramEnd"/>
      <w:r w:rsidRPr="00AB2FCC">
        <w:t xml:space="preserve"> rubber compound conforming to the applicable material requirements of ASTM C-923, with a minimum 1500 psi tensile strength, maximum 18% compression set and a hardness (durometer) of 48±5.</w:t>
      </w:r>
    </w:p>
    <w:p w:rsidR="00E970CB" w:rsidRPr="00AB2FCC" w:rsidRDefault="00E970CB" w:rsidP="00E970CB">
      <w:pPr>
        <w:autoSpaceDE w:val="0"/>
        <w:autoSpaceDN w:val="0"/>
        <w:adjustRightInd w:val="0"/>
        <w:ind w:left="1080" w:hanging="1080"/>
        <w:jc w:val="both"/>
      </w:pPr>
    </w:p>
    <w:p w:rsidR="00E970CB" w:rsidRDefault="00E970CB" w:rsidP="00E970CB">
      <w:pPr>
        <w:autoSpaceDE w:val="0"/>
        <w:autoSpaceDN w:val="0"/>
        <w:adjustRightInd w:val="0"/>
        <w:ind w:left="1080"/>
        <w:jc w:val="both"/>
      </w:pPr>
      <w:r w:rsidRPr="00AB2FCC">
        <w:t xml:space="preserve">The rubber sleeve shall be double, triple or quadruple pleated with a minimum unexpanded vertical height of 8 inches, 10 inches or 13 inches respectively and a minimum thickness of 3/16 inches. </w:t>
      </w:r>
      <w:r>
        <w:t xml:space="preserve"> </w:t>
      </w:r>
      <w:r w:rsidRPr="00AB2FCC">
        <w:t xml:space="preserve">The top and bottom section of the sleeve that compresses against the manhole frame casting and the chimney/cone shall have an integrally formed expansion band recess and a series of sealing fins to facilitate a watertight seal. </w:t>
      </w:r>
      <w:r>
        <w:t xml:space="preserve"> </w:t>
      </w:r>
    </w:p>
    <w:p w:rsidR="00E970CB" w:rsidRPr="00AB2FCC" w:rsidRDefault="00E970CB" w:rsidP="00E970CB">
      <w:pPr>
        <w:autoSpaceDE w:val="0"/>
        <w:autoSpaceDN w:val="0"/>
        <w:adjustRightInd w:val="0"/>
        <w:ind w:left="1080"/>
        <w:jc w:val="both"/>
      </w:pPr>
    </w:p>
    <w:p w:rsidR="00E970CB" w:rsidRDefault="00E970CB" w:rsidP="00E970CB">
      <w:pPr>
        <w:autoSpaceDE w:val="0"/>
        <w:autoSpaceDN w:val="0"/>
        <w:adjustRightInd w:val="0"/>
        <w:ind w:left="1080"/>
        <w:jc w:val="both"/>
      </w:pPr>
      <w:r w:rsidRPr="00AB2FCC">
        <w:t xml:space="preserve">Any splice used to fabricate the sleeve and extension shall be hot vulcanized and have a strength such that the sleeve shall withstand a </w:t>
      </w:r>
      <w:proofErr w:type="gramStart"/>
      <w:r w:rsidRPr="00AB2FCC">
        <w:t>180 degree</w:t>
      </w:r>
      <w:proofErr w:type="gramEnd"/>
      <w:r w:rsidRPr="00AB2FCC">
        <w:t xml:space="preserve"> bend with no visible separation.</w:t>
      </w:r>
    </w:p>
    <w:p w:rsidR="00E970CB" w:rsidRPr="00AB2FCC" w:rsidRDefault="00E970CB" w:rsidP="00E970CB">
      <w:pPr>
        <w:autoSpaceDE w:val="0"/>
        <w:autoSpaceDN w:val="0"/>
        <w:adjustRightInd w:val="0"/>
        <w:ind w:left="1080"/>
        <w:jc w:val="both"/>
      </w:pPr>
    </w:p>
    <w:p w:rsidR="00E970CB" w:rsidRDefault="00E970CB" w:rsidP="00E970CB">
      <w:pPr>
        <w:autoSpaceDE w:val="0"/>
        <w:autoSpaceDN w:val="0"/>
        <w:adjustRightInd w:val="0"/>
        <w:spacing w:after="120"/>
        <w:ind w:left="1080" w:hanging="1080"/>
        <w:jc w:val="both"/>
        <w:rPr>
          <w:b/>
        </w:rPr>
      </w:pPr>
      <w:r w:rsidRPr="00206A33">
        <w:rPr>
          <w:b/>
        </w:rPr>
        <w:t xml:space="preserve">3.3 </w:t>
      </w:r>
      <w:r w:rsidRPr="00206A33">
        <w:rPr>
          <w:b/>
        </w:rPr>
        <w:tab/>
        <w:t>Expansion Bands</w:t>
      </w:r>
    </w:p>
    <w:p w:rsidR="00E970CB" w:rsidRPr="00AB2FCC" w:rsidRDefault="00E970CB" w:rsidP="00E970CB">
      <w:pPr>
        <w:autoSpaceDE w:val="0"/>
        <w:autoSpaceDN w:val="0"/>
        <w:adjustRightInd w:val="0"/>
        <w:ind w:left="1080"/>
        <w:jc w:val="both"/>
      </w:pPr>
      <w:r w:rsidRPr="00AB2FCC">
        <w:t xml:space="preserve">The expansion bands used to compress the sleeve against the manhole shall be integrally formed from </w:t>
      </w:r>
      <w:proofErr w:type="gramStart"/>
      <w:r w:rsidRPr="00AB2FCC">
        <w:t>16 gauge</w:t>
      </w:r>
      <w:proofErr w:type="gramEnd"/>
      <w:r w:rsidRPr="00AB2FCC">
        <w:t xml:space="preserve"> stainless steel conforming to the applicable material requirements of ASTM C-923, Type 304, with no welded attachments and shall</w:t>
      </w:r>
      <w:r>
        <w:t xml:space="preserve"> </w:t>
      </w:r>
      <w:r w:rsidRPr="00AB2FCC">
        <w:t>have a minimum width of 1-3/4 inches.</w:t>
      </w:r>
    </w:p>
    <w:p w:rsidR="00E970CB" w:rsidRDefault="00E970CB" w:rsidP="00E970CB">
      <w:pPr>
        <w:autoSpaceDE w:val="0"/>
        <w:autoSpaceDN w:val="0"/>
        <w:adjustRightInd w:val="0"/>
        <w:ind w:hanging="1080"/>
        <w:jc w:val="both"/>
      </w:pPr>
    </w:p>
    <w:p w:rsidR="00E970CB" w:rsidRPr="00B54A12" w:rsidRDefault="00E970CB" w:rsidP="00E970CB"/>
    <w:p w:rsidR="00E970CB" w:rsidRDefault="00E970CB" w:rsidP="00E970CB">
      <w:pPr>
        <w:jc w:val="right"/>
        <w:sectPr w:rsidR="00E970CB" w:rsidSect="008D5969">
          <w:footerReference w:type="default" r:id="rId9"/>
          <w:pgSz w:w="12240" w:h="15840"/>
          <w:pgMar w:top="1440" w:right="1620" w:bottom="1440" w:left="1440" w:header="720" w:footer="938" w:gutter="0"/>
          <w:pgNumType w:start="1"/>
          <w:cols w:space="720"/>
          <w:docGrid w:linePitch="360"/>
        </w:sectPr>
      </w:pPr>
    </w:p>
    <w:p w:rsidR="00E970CB" w:rsidRPr="00B54A12" w:rsidRDefault="00E970CB" w:rsidP="00E970CB">
      <w:pPr>
        <w:jc w:val="right"/>
      </w:pPr>
    </w:p>
    <w:p w:rsidR="00E970CB" w:rsidRPr="00AB2FCC" w:rsidRDefault="00E970CB" w:rsidP="00E970CB">
      <w:pPr>
        <w:autoSpaceDE w:val="0"/>
        <w:autoSpaceDN w:val="0"/>
        <w:adjustRightInd w:val="0"/>
        <w:ind w:left="1080"/>
        <w:jc w:val="both"/>
      </w:pPr>
      <w:r w:rsidRPr="00AB2FCC">
        <w:t xml:space="preserve">The bands shall have a minimum adjustment range of 2-1/2 diameter inches </w:t>
      </w:r>
      <w:r>
        <w:t xml:space="preserve">and </w:t>
      </w:r>
      <w:r w:rsidRPr="00AB2FCC">
        <w:t>a positive locking mechanism which secures the band in its expanded position after tightening.</w:t>
      </w:r>
    </w:p>
    <w:p w:rsidR="00E970CB" w:rsidRPr="00AB2FCC" w:rsidRDefault="00E970CB" w:rsidP="00E970CB">
      <w:pPr>
        <w:pStyle w:val="CM3"/>
        <w:spacing w:line="240" w:lineRule="auto"/>
        <w:ind w:left="1080"/>
        <w:jc w:val="both"/>
        <w:rPr>
          <w:rFonts w:ascii="Times New Roman" w:hAnsi="Times New Roman"/>
          <w:b/>
        </w:rPr>
      </w:pPr>
    </w:p>
    <w:p w:rsidR="00E970CB" w:rsidRPr="00AB2FCC" w:rsidRDefault="00E970CB" w:rsidP="00E970CB">
      <w:pPr>
        <w:pStyle w:val="CM3"/>
        <w:spacing w:before="120" w:line="240" w:lineRule="auto"/>
        <w:ind w:left="1080" w:hanging="1080"/>
        <w:jc w:val="both"/>
        <w:rPr>
          <w:rFonts w:ascii="Times New Roman" w:hAnsi="Times New Roman"/>
          <w:b/>
        </w:rPr>
      </w:pPr>
      <w:r w:rsidRPr="00AB2FCC">
        <w:rPr>
          <w:rFonts w:ascii="Times New Roman" w:hAnsi="Times New Roman"/>
          <w:b/>
        </w:rPr>
        <w:t xml:space="preserve">PART </w:t>
      </w:r>
      <w:r>
        <w:rPr>
          <w:rFonts w:ascii="Times New Roman" w:hAnsi="Times New Roman"/>
          <w:b/>
        </w:rPr>
        <w:t>4:</w:t>
      </w:r>
      <w:r w:rsidRPr="00AB2FCC">
        <w:rPr>
          <w:rFonts w:ascii="Times New Roman" w:hAnsi="Times New Roman"/>
          <w:b/>
        </w:rPr>
        <w:tab/>
      </w:r>
      <w:r w:rsidRPr="00AB2FCC">
        <w:rPr>
          <w:rFonts w:ascii="Times New Roman" w:hAnsi="Times New Roman"/>
          <w:b/>
          <w:bCs/>
        </w:rPr>
        <w:t xml:space="preserve">EXECUTION </w:t>
      </w:r>
    </w:p>
    <w:p w:rsidR="00E970CB" w:rsidRPr="00AB2FCC" w:rsidRDefault="00E970CB" w:rsidP="00E970CB">
      <w:pPr>
        <w:pStyle w:val="CM3"/>
        <w:tabs>
          <w:tab w:val="left" w:pos="1170"/>
        </w:tabs>
        <w:spacing w:line="240" w:lineRule="auto"/>
        <w:jc w:val="both"/>
        <w:rPr>
          <w:rFonts w:ascii="Times New Roman" w:hAnsi="Times New Roman"/>
        </w:rPr>
      </w:pPr>
    </w:p>
    <w:p w:rsidR="00E970CB" w:rsidRPr="00AB2FCC" w:rsidRDefault="00E970CB" w:rsidP="00E970CB">
      <w:pPr>
        <w:numPr>
          <w:ilvl w:val="0"/>
          <w:numId w:val="4"/>
        </w:numPr>
        <w:autoSpaceDE w:val="0"/>
        <w:autoSpaceDN w:val="0"/>
        <w:adjustRightInd w:val="0"/>
        <w:spacing w:after="120"/>
        <w:jc w:val="both"/>
      </w:pPr>
      <w:r w:rsidRPr="00AB2FCC">
        <w:t>The Contractor shall field measure the</w:t>
      </w:r>
      <w:r>
        <w:t xml:space="preserve"> required dimension of the </w:t>
      </w:r>
      <w:r w:rsidRPr="00AB2FCC">
        <w:t xml:space="preserve">manholes </w:t>
      </w:r>
      <w:r>
        <w:t>prior to ordering frame seals and other appurtenances</w:t>
      </w:r>
      <w:r w:rsidRPr="00AB2FCC">
        <w:t>.</w:t>
      </w:r>
    </w:p>
    <w:p w:rsidR="00E970CB" w:rsidRDefault="00E970CB" w:rsidP="00E970CB">
      <w:pPr>
        <w:numPr>
          <w:ilvl w:val="0"/>
          <w:numId w:val="4"/>
        </w:numPr>
        <w:autoSpaceDE w:val="0"/>
        <w:autoSpaceDN w:val="0"/>
        <w:adjustRightInd w:val="0"/>
        <w:spacing w:after="120"/>
        <w:jc w:val="both"/>
      </w:pPr>
      <w:r w:rsidRPr="00AB2FCC">
        <w:t xml:space="preserve">All sealing surfaces shall be reasonably smooth, clean and free of any form offsets or excessive honeycomb. </w:t>
      </w:r>
    </w:p>
    <w:p w:rsidR="00E970CB" w:rsidRPr="00AB2FCC" w:rsidRDefault="00E970CB" w:rsidP="00E970CB">
      <w:pPr>
        <w:numPr>
          <w:ilvl w:val="0"/>
          <w:numId w:val="4"/>
        </w:numPr>
        <w:autoSpaceDE w:val="0"/>
        <w:autoSpaceDN w:val="0"/>
        <w:adjustRightInd w:val="0"/>
        <w:spacing w:after="120"/>
        <w:jc w:val="both"/>
      </w:pPr>
      <w:r w:rsidRPr="00AB2FCC">
        <w:t>The internal frame seals and extensions shall be installed in accordance with the manufacturer’s instructions.</w:t>
      </w:r>
    </w:p>
    <w:p w:rsidR="00E970CB" w:rsidRPr="00AB2FCC" w:rsidRDefault="00E970CB" w:rsidP="00E970CB">
      <w:pPr>
        <w:autoSpaceDE w:val="0"/>
        <w:autoSpaceDN w:val="0"/>
        <w:adjustRightInd w:val="0"/>
        <w:ind w:left="1080"/>
        <w:jc w:val="both"/>
      </w:pPr>
    </w:p>
    <w:p w:rsidR="00E970CB" w:rsidRPr="00AB2FCC" w:rsidRDefault="00E970CB" w:rsidP="00E970CB">
      <w:pPr>
        <w:ind w:left="1080" w:hanging="1080"/>
        <w:jc w:val="both"/>
        <w:rPr>
          <w:b/>
          <w:snapToGrid w:val="0"/>
        </w:rPr>
      </w:pPr>
      <w:r w:rsidRPr="00AB2FCC">
        <w:rPr>
          <w:b/>
          <w:snapToGrid w:val="0"/>
        </w:rPr>
        <w:t>PART 5</w:t>
      </w:r>
      <w:r>
        <w:rPr>
          <w:b/>
          <w:snapToGrid w:val="0"/>
        </w:rPr>
        <w:t>:</w:t>
      </w:r>
      <w:r w:rsidRPr="00AB2FCC">
        <w:rPr>
          <w:b/>
          <w:snapToGrid w:val="0"/>
        </w:rPr>
        <w:tab/>
        <w:t>METHOD OF MEASUREMENT AND PAYMENT</w:t>
      </w:r>
    </w:p>
    <w:p w:rsidR="00E970CB" w:rsidRPr="00AB2FCC" w:rsidRDefault="00E970CB" w:rsidP="00E970CB">
      <w:pPr>
        <w:pStyle w:val="Default"/>
        <w:ind w:left="1080" w:right="991" w:hanging="1080"/>
        <w:jc w:val="both"/>
        <w:rPr>
          <w:color w:val="auto"/>
        </w:rPr>
      </w:pPr>
    </w:p>
    <w:p w:rsidR="00E970CB" w:rsidRPr="00AB2FCC" w:rsidRDefault="00E970CB" w:rsidP="00E970CB">
      <w:pPr>
        <w:pStyle w:val="Default"/>
        <w:ind w:left="1080"/>
        <w:jc w:val="both"/>
        <w:rPr>
          <w:color w:val="auto"/>
        </w:rPr>
      </w:pPr>
      <w:r>
        <w:t xml:space="preserve">Method of Measurement and </w:t>
      </w:r>
      <w:r w:rsidRPr="00E81292">
        <w:t xml:space="preserve">Payment for providing </w:t>
      </w:r>
      <w:r>
        <w:t xml:space="preserve">Manhole Frame Seal </w:t>
      </w:r>
      <w:r w:rsidRPr="00E81292">
        <w:t>as specified in this section shall be incidental and inclusive in the applicable unit price bid item</w:t>
      </w:r>
      <w:r>
        <w:t>.</w:t>
      </w:r>
    </w:p>
    <w:p w:rsidR="00E970CB" w:rsidRDefault="00E970CB" w:rsidP="00E970CB">
      <w:pPr>
        <w:pStyle w:val="Default"/>
        <w:ind w:left="1080"/>
        <w:jc w:val="both"/>
        <w:rPr>
          <w:color w:val="auto"/>
        </w:rPr>
      </w:pPr>
    </w:p>
    <w:p w:rsidR="00E970CB" w:rsidRPr="00AB2FCC" w:rsidRDefault="00E970CB" w:rsidP="00E970CB">
      <w:pPr>
        <w:pStyle w:val="Default"/>
        <w:ind w:left="1080"/>
        <w:jc w:val="both"/>
        <w:rPr>
          <w:color w:val="auto"/>
        </w:rPr>
      </w:pPr>
    </w:p>
    <w:p w:rsidR="00E970CB" w:rsidRPr="00792E0F" w:rsidRDefault="00E970CB" w:rsidP="00E970CB">
      <w:pPr>
        <w:pStyle w:val="Default"/>
        <w:ind w:left="1080" w:hanging="1080"/>
        <w:jc w:val="center"/>
        <w:rPr>
          <w:b/>
          <w:bCs/>
          <w:color w:val="auto"/>
        </w:rPr>
      </w:pPr>
      <w:r w:rsidRPr="00792E0F">
        <w:rPr>
          <w:b/>
          <w:bCs/>
          <w:color w:val="auto"/>
        </w:rPr>
        <w:t>**END OF SECTION**</w:t>
      </w:r>
    </w:p>
    <w:p w:rsidR="00DC05C5" w:rsidRDefault="00E970CB"/>
    <w:sectPr w:rsidR="00DC05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0CB" w:rsidRDefault="00E970CB" w:rsidP="00E970CB">
      <w:r>
        <w:separator/>
      </w:r>
    </w:p>
  </w:endnote>
  <w:endnote w:type="continuationSeparator" w:id="0">
    <w:p w:rsidR="00E970CB" w:rsidRDefault="00E970CB" w:rsidP="00E97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E970CB"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638527AE" wp14:editId="06502145">
          <wp:extent cx="198755" cy="230505"/>
          <wp:effectExtent l="0" t="0" r="0" b="0"/>
          <wp:docPr id="878" name="Picture 878"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Manhole Frame Seal</w:t>
    </w:r>
    <w:r>
      <w:rPr>
        <w:smallCaps/>
        <w:color w:val="0066CC"/>
        <w:sz w:val="20"/>
        <w:szCs w:val="20"/>
      </w:rPr>
      <w:tab/>
      <w:t xml:space="preserve"> </w:t>
    </w:r>
    <w:r w:rsidRPr="00230FCE">
      <w:rPr>
        <w:smallCaps/>
        <w:color w:val="0066CC"/>
        <w:sz w:val="20"/>
        <w:szCs w:val="20"/>
      </w:rPr>
      <w:t xml:space="preserve">            </w:t>
    </w:r>
    <w:r>
      <w:rPr>
        <w:smallCaps/>
        <w:color w:val="0066CC"/>
        <w:sz w:val="20"/>
        <w:szCs w:val="20"/>
      </w:rPr>
      <w:t xml:space="preserve">                    </w:t>
    </w:r>
    <w:r>
      <w:rPr>
        <w:smallCaps/>
        <w:color w:val="0066CC"/>
        <w:sz w:val="20"/>
        <w:szCs w:val="20"/>
      </w:rPr>
      <w:tab/>
      <w:t>5.4-1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E970CB"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4B190C7D" wp14:editId="1B00E8A3">
          <wp:extent cx="198755" cy="230505"/>
          <wp:effectExtent l="0" t="0" r="0" b="0"/>
          <wp:docPr id="882" name="Picture 882"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Manhole Frame Seal</w:t>
    </w:r>
    <w:r>
      <w:rPr>
        <w:smallCaps/>
        <w:color w:val="0066CC"/>
        <w:sz w:val="20"/>
        <w:szCs w:val="20"/>
      </w:rPr>
      <w:tab/>
      <w:t xml:space="preserve"> </w:t>
    </w:r>
    <w:r w:rsidRPr="00230FCE">
      <w:rPr>
        <w:smallCaps/>
        <w:color w:val="0066CC"/>
        <w:sz w:val="20"/>
        <w:szCs w:val="20"/>
      </w:rPr>
      <w:t xml:space="preserve">            </w:t>
    </w:r>
    <w:r>
      <w:rPr>
        <w:smallCaps/>
        <w:color w:val="0066CC"/>
        <w:sz w:val="20"/>
        <w:szCs w:val="20"/>
      </w:rPr>
      <w:t xml:space="preserve">                    </w:t>
    </w:r>
    <w:r>
      <w:rPr>
        <w:smallCaps/>
        <w:color w:val="0066CC"/>
        <w:sz w:val="20"/>
        <w:szCs w:val="20"/>
      </w:rPr>
      <w:tab/>
      <w:t>5.4-2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0CB" w:rsidRDefault="00E970CB" w:rsidP="00E970CB">
      <w:r>
        <w:separator/>
      </w:r>
    </w:p>
  </w:footnote>
  <w:footnote w:type="continuationSeparator" w:id="0">
    <w:p w:rsidR="00E970CB" w:rsidRDefault="00E970CB" w:rsidP="00E97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0CB" w:rsidRPr="00F321EA" w:rsidRDefault="00E970CB" w:rsidP="00E970CB">
    <w:pPr>
      <w:pStyle w:val="Header"/>
    </w:pPr>
    <w:r w:rsidRPr="00F321EA">
      <w:rPr>
        <w:noProof/>
        <w:color w:val="0066CC"/>
        <w:sz w:val="20"/>
        <w:szCs w:val="20"/>
      </w:rPr>
      <w:drawing>
        <wp:inline distT="0" distB="0" distL="0" distR="0" wp14:anchorId="5AE94496" wp14:editId="41F91EF6">
          <wp:extent cx="199390" cy="231775"/>
          <wp:effectExtent l="0" t="0" r="0" b="0"/>
          <wp:docPr id="887" name="Picture 887"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9390" cy="231775"/>
                  </a:xfrm>
                  <a:prstGeom prst="rect">
                    <a:avLst/>
                  </a:prstGeom>
                  <a:noFill/>
                  <a:ln>
                    <a:noFill/>
                  </a:ln>
                </pic:spPr>
              </pic:pic>
            </a:graphicData>
          </a:graphic>
        </wp:inline>
      </w:drawing>
    </w:r>
    <w:r w:rsidRPr="00F321EA">
      <w:rPr>
        <w:color w:val="0066CC"/>
        <w:sz w:val="20"/>
        <w:szCs w:val="20"/>
      </w:rPr>
      <w:t xml:space="preserve"> </w:t>
    </w:r>
    <w:r w:rsidRPr="00F321EA">
      <w:rPr>
        <w:smallCaps/>
        <w:color w:val="0066CC"/>
        <w:sz w:val="20"/>
        <w:szCs w:val="20"/>
      </w:rPr>
      <w:t>DWU Standard Technical Specifications</w:t>
    </w:r>
    <w:r w:rsidRPr="00F321EA">
      <w:rPr>
        <w:smallCaps/>
        <w:color w:val="0066CC"/>
        <w:sz w:val="20"/>
        <w:szCs w:val="20"/>
      </w:rPr>
      <w:tab/>
    </w:r>
    <w:r w:rsidRPr="00F321EA">
      <w:rPr>
        <w:smallCaps/>
        <w:color w:val="0066CC"/>
        <w:sz w:val="20"/>
        <w:szCs w:val="20"/>
      </w:rPr>
      <w:tab/>
      <w:t xml:space="preserve">         </w:t>
    </w:r>
    <w:proofErr w:type="gramStart"/>
    <w:r>
      <w:rPr>
        <w:smallCaps/>
        <w:color w:val="0066CC"/>
        <w:sz w:val="20"/>
        <w:szCs w:val="20"/>
      </w:rPr>
      <w:t>October,</w:t>
    </w:r>
    <w:proofErr w:type="gramEnd"/>
    <w:r>
      <w:rPr>
        <w:smallCaps/>
        <w:color w:val="0066CC"/>
        <w:sz w:val="20"/>
        <w:szCs w:val="20"/>
      </w:rPr>
      <w:t xml:space="preserve"> 2017</w:t>
    </w:r>
  </w:p>
  <w:p w:rsidR="00E970CB" w:rsidRDefault="00E97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C6058"/>
    <w:multiLevelType w:val="multilevel"/>
    <w:tmpl w:val="A31A9ADE"/>
    <w:lvl w:ilvl="0">
      <w:start w:val="2"/>
      <w:numFmt w:val="decimal"/>
      <w:lvlText w:val="%1"/>
      <w:lvlJc w:val="left"/>
      <w:pPr>
        <w:tabs>
          <w:tab w:val="num" w:pos="1080"/>
        </w:tabs>
        <w:ind w:left="1080" w:hanging="1080"/>
      </w:pPr>
      <w:rPr>
        <w:rFonts w:hint="default"/>
        <w:u w:val="none"/>
      </w:rPr>
    </w:lvl>
    <w:lvl w:ilvl="1">
      <w:start w:val="2"/>
      <w:numFmt w:val="decimal"/>
      <w:lvlText w:val="%1.%2"/>
      <w:lvlJc w:val="left"/>
      <w:pPr>
        <w:tabs>
          <w:tab w:val="num" w:pos="1080"/>
        </w:tabs>
        <w:ind w:left="1080" w:hanging="1080"/>
      </w:pPr>
      <w:rPr>
        <w:rFonts w:hint="default"/>
        <w:u w:val="none"/>
      </w:rPr>
    </w:lvl>
    <w:lvl w:ilvl="2">
      <w:start w:val="1"/>
      <w:numFmt w:val="bullet"/>
      <w:lvlText w:val=""/>
      <w:lvlJc w:val="left"/>
      <w:pPr>
        <w:tabs>
          <w:tab w:val="num" w:pos="360"/>
        </w:tabs>
        <w:ind w:left="360" w:hanging="360"/>
      </w:pPr>
      <w:rPr>
        <w:rFonts w:ascii="Symbol" w:hAnsi="Symbol"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 w15:restartNumberingAfterBreak="0">
    <w:nsid w:val="23BA3CAF"/>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48EF4F5A"/>
    <w:multiLevelType w:val="multilevel"/>
    <w:tmpl w:val="CABE907C"/>
    <w:lvl w:ilvl="0">
      <w:start w:val="2"/>
      <w:numFmt w:val="decimal"/>
      <w:lvlText w:val="%1"/>
      <w:lvlJc w:val="left"/>
      <w:pPr>
        <w:tabs>
          <w:tab w:val="num" w:pos="1080"/>
        </w:tabs>
        <w:ind w:left="1080" w:hanging="1080"/>
      </w:pPr>
      <w:rPr>
        <w:rFonts w:hint="default"/>
        <w:u w:val="none"/>
      </w:rPr>
    </w:lvl>
    <w:lvl w:ilvl="1">
      <w:start w:val="2"/>
      <w:numFmt w:val="decimal"/>
      <w:lvlText w:val="%1.%2"/>
      <w:lvlJc w:val="left"/>
      <w:pPr>
        <w:tabs>
          <w:tab w:val="num" w:pos="1080"/>
        </w:tabs>
        <w:ind w:left="1080" w:hanging="1080"/>
      </w:pPr>
      <w:rPr>
        <w:rFonts w:hint="default"/>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 w15:restartNumberingAfterBreak="0">
    <w:nsid w:val="5CF2707E"/>
    <w:multiLevelType w:val="hybridMultilevel"/>
    <w:tmpl w:val="1CDC9C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AB43CB7"/>
    <w:multiLevelType w:val="multilevel"/>
    <w:tmpl w:val="D68411D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CB"/>
    <w:rsid w:val="000C525E"/>
    <w:rsid w:val="007A3A45"/>
    <w:rsid w:val="007B1167"/>
    <w:rsid w:val="00C81325"/>
    <w:rsid w:val="00E9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2F93C-5EC3-4D79-A1CA-D66ED91E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0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70CB"/>
    <w:pPr>
      <w:keepNext/>
      <w:numPr>
        <w:numId w:val="1"/>
      </w:numPr>
      <w:spacing w:before="240" w:after="60"/>
      <w:outlineLvl w:val="0"/>
    </w:pPr>
    <w:rPr>
      <w:rFonts w:ascii="Georgia" w:hAnsi="Georgia" w:cs="Arial"/>
      <w:b/>
      <w:bCs/>
      <w:kern w:val="32"/>
      <w:sz w:val="32"/>
      <w:szCs w:val="32"/>
    </w:rPr>
  </w:style>
  <w:style w:type="paragraph" w:styleId="Heading2">
    <w:name w:val="heading 2"/>
    <w:basedOn w:val="Normal"/>
    <w:next w:val="Normal"/>
    <w:link w:val="Heading2Char"/>
    <w:qFormat/>
    <w:rsid w:val="00E970CB"/>
    <w:pPr>
      <w:keepNext/>
      <w:numPr>
        <w:ilvl w:val="1"/>
        <w:numId w:val="1"/>
      </w:numPr>
      <w:spacing w:before="240" w:after="60"/>
      <w:outlineLvl w:val="1"/>
    </w:pPr>
    <w:rPr>
      <w:rFonts w:ascii="Georgia" w:hAnsi="Georgia" w:cs="Arial"/>
      <w:b/>
      <w:bCs/>
      <w:i/>
      <w:iCs/>
      <w:sz w:val="28"/>
      <w:szCs w:val="28"/>
    </w:rPr>
  </w:style>
  <w:style w:type="paragraph" w:styleId="Heading3">
    <w:name w:val="heading 3"/>
    <w:basedOn w:val="Normal"/>
    <w:next w:val="Normal"/>
    <w:link w:val="Heading3Char"/>
    <w:qFormat/>
    <w:rsid w:val="00E970CB"/>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970CB"/>
    <w:pPr>
      <w:keepNext/>
      <w:numPr>
        <w:ilvl w:val="3"/>
        <w:numId w:val="1"/>
      </w:numPr>
      <w:spacing w:before="240" w:after="60"/>
      <w:outlineLvl w:val="3"/>
    </w:pPr>
    <w:rPr>
      <w:rFonts w:ascii="Georgia" w:hAnsi="Georgia"/>
      <w:b/>
      <w:bCs/>
      <w:sz w:val="28"/>
      <w:szCs w:val="28"/>
    </w:rPr>
  </w:style>
  <w:style w:type="paragraph" w:styleId="Heading5">
    <w:name w:val="heading 5"/>
    <w:basedOn w:val="Normal"/>
    <w:next w:val="Normal"/>
    <w:link w:val="Heading5Char"/>
    <w:qFormat/>
    <w:rsid w:val="00E970CB"/>
    <w:pPr>
      <w:numPr>
        <w:ilvl w:val="4"/>
        <w:numId w:val="1"/>
      </w:numPr>
      <w:spacing w:before="240" w:after="60"/>
      <w:outlineLvl w:val="4"/>
    </w:pPr>
    <w:rPr>
      <w:rFonts w:ascii="Georgia" w:hAnsi="Georgia"/>
      <w:b/>
      <w:bCs/>
      <w:i/>
      <w:iCs/>
      <w:sz w:val="26"/>
      <w:szCs w:val="26"/>
    </w:rPr>
  </w:style>
  <w:style w:type="paragraph" w:styleId="Heading6">
    <w:name w:val="heading 6"/>
    <w:basedOn w:val="Normal"/>
    <w:next w:val="Normal"/>
    <w:link w:val="Heading6Char"/>
    <w:qFormat/>
    <w:rsid w:val="00E970CB"/>
    <w:pPr>
      <w:numPr>
        <w:ilvl w:val="5"/>
        <w:numId w:val="1"/>
      </w:numPr>
      <w:spacing w:before="240" w:after="60"/>
      <w:outlineLvl w:val="5"/>
    </w:pPr>
    <w:rPr>
      <w:rFonts w:ascii="Georgia" w:hAnsi="Georgia"/>
      <w:b/>
      <w:bCs/>
      <w:sz w:val="22"/>
      <w:szCs w:val="22"/>
    </w:rPr>
  </w:style>
  <w:style w:type="paragraph" w:styleId="Heading7">
    <w:name w:val="heading 7"/>
    <w:basedOn w:val="Normal"/>
    <w:next w:val="Normal"/>
    <w:link w:val="Heading7Char"/>
    <w:qFormat/>
    <w:rsid w:val="00E970CB"/>
    <w:pPr>
      <w:numPr>
        <w:ilvl w:val="6"/>
        <w:numId w:val="1"/>
      </w:numPr>
      <w:spacing w:before="240" w:after="60"/>
      <w:outlineLvl w:val="6"/>
    </w:pPr>
    <w:rPr>
      <w:rFonts w:ascii="Georgia" w:hAnsi="Georgia"/>
      <w:sz w:val="20"/>
    </w:rPr>
  </w:style>
  <w:style w:type="paragraph" w:styleId="Heading8">
    <w:name w:val="heading 8"/>
    <w:basedOn w:val="Normal"/>
    <w:next w:val="Normal"/>
    <w:link w:val="Heading8Char"/>
    <w:qFormat/>
    <w:rsid w:val="00E970CB"/>
    <w:pPr>
      <w:numPr>
        <w:ilvl w:val="7"/>
        <w:numId w:val="1"/>
      </w:numPr>
      <w:spacing w:before="240" w:after="60"/>
      <w:outlineLvl w:val="7"/>
    </w:pPr>
    <w:rPr>
      <w:rFonts w:ascii="Georgia" w:hAnsi="Georgia"/>
      <w:i/>
      <w:iCs/>
      <w:sz w:val="20"/>
    </w:rPr>
  </w:style>
  <w:style w:type="paragraph" w:styleId="Heading9">
    <w:name w:val="heading 9"/>
    <w:basedOn w:val="Normal"/>
    <w:next w:val="Normal"/>
    <w:link w:val="Heading9Char"/>
    <w:qFormat/>
    <w:rsid w:val="00E970C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70CB"/>
    <w:rPr>
      <w:rFonts w:ascii="Georgia" w:eastAsia="Times New Roman" w:hAnsi="Georgia" w:cs="Arial"/>
      <w:b/>
      <w:bCs/>
      <w:kern w:val="32"/>
      <w:sz w:val="32"/>
      <w:szCs w:val="32"/>
    </w:rPr>
  </w:style>
  <w:style w:type="character" w:customStyle="1" w:styleId="Heading2Char">
    <w:name w:val="Heading 2 Char"/>
    <w:basedOn w:val="DefaultParagraphFont"/>
    <w:link w:val="Heading2"/>
    <w:rsid w:val="00E970CB"/>
    <w:rPr>
      <w:rFonts w:ascii="Georgia" w:eastAsia="Times New Roman" w:hAnsi="Georgia" w:cs="Arial"/>
      <w:b/>
      <w:bCs/>
      <w:i/>
      <w:iCs/>
      <w:sz w:val="28"/>
      <w:szCs w:val="28"/>
    </w:rPr>
  </w:style>
  <w:style w:type="character" w:customStyle="1" w:styleId="Heading3Char">
    <w:name w:val="Heading 3 Char"/>
    <w:basedOn w:val="DefaultParagraphFont"/>
    <w:link w:val="Heading3"/>
    <w:rsid w:val="00E970CB"/>
    <w:rPr>
      <w:rFonts w:ascii="Arial" w:eastAsia="Times New Roman" w:hAnsi="Arial" w:cs="Arial"/>
      <w:b/>
      <w:bCs/>
      <w:sz w:val="26"/>
      <w:szCs w:val="26"/>
    </w:rPr>
  </w:style>
  <w:style w:type="character" w:customStyle="1" w:styleId="Heading4Char">
    <w:name w:val="Heading 4 Char"/>
    <w:basedOn w:val="DefaultParagraphFont"/>
    <w:link w:val="Heading4"/>
    <w:rsid w:val="00E970CB"/>
    <w:rPr>
      <w:rFonts w:ascii="Georgia" w:eastAsia="Times New Roman" w:hAnsi="Georgia" w:cs="Times New Roman"/>
      <w:b/>
      <w:bCs/>
      <w:sz w:val="28"/>
      <w:szCs w:val="28"/>
    </w:rPr>
  </w:style>
  <w:style w:type="character" w:customStyle="1" w:styleId="Heading5Char">
    <w:name w:val="Heading 5 Char"/>
    <w:basedOn w:val="DefaultParagraphFont"/>
    <w:link w:val="Heading5"/>
    <w:rsid w:val="00E970CB"/>
    <w:rPr>
      <w:rFonts w:ascii="Georgia" w:eastAsia="Times New Roman" w:hAnsi="Georgia" w:cs="Times New Roman"/>
      <w:b/>
      <w:bCs/>
      <w:i/>
      <w:iCs/>
      <w:sz w:val="26"/>
      <w:szCs w:val="26"/>
    </w:rPr>
  </w:style>
  <w:style w:type="character" w:customStyle="1" w:styleId="Heading6Char">
    <w:name w:val="Heading 6 Char"/>
    <w:basedOn w:val="DefaultParagraphFont"/>
    <w:link w:val="Heading6"/>
    <w:rsid w:val="00E970CB"/>
    <w:rPr>
      <w:rFonts w:ascii="Georgia" w:eastAsia="Times New Roman" w:hAnsi="Georgia" w:cs="Times New Roman"/>
      <w:b/>
      <w:bCs/>
    </w:rPr>
  </w:style>
  <w:style w:type="character" w:customStyle="1" w:styleId="Heading7Char">
    <w:name w:val="Heading 7 Char"/>
    <w:basedOn w:val="DefaultParagraphFont"/>
    <w:link w:val="Heading7"/>
    <w:rsid w:val="00E970CB"/>
    <w:rPr>
      <w:rFonts w:ascii="Georgia" w:eastAsia="Times New Roman" w:hAnsi="Georgia" w:cs="Times New Roman"/>
      <w:sz w:val="20"/>
      <w:szCs w:val="24"/>
    </w:rPr>
  </w:style>
  <w:style w:type="character" w:customStyle="1" w:styleId="Heading8Char">
    <w:name w:val="Heading 8 Char"/>
    <w:basedOn w:val="DefaultParagraphFont"/>
    <w:link w:val="Heading8"/>
    <w:rsid w:val="00E970CB"/>
    <w:rPr>
      <w:rFonts w:ascii="Georgia" w:eastAsia="Times New Roman" w:hAnsi="Georgia" w:cs="Times New Roman"/>
      <w:i/>
      <w:iCs/>
      <w:sz w:val="20"/>
      <w:szCs w:val="24"/>
    </w:rPr>
  </w:style>
  <w:style w:type="character" w:customStyle="1" w:styleId="Heading9Char">
    <w:name w:val="Heading 9 Char"/>
    <w:basedOn w:val="DefaultParagraphFont"/>
    <w:link w:val="Heading9"/>
    <w:rsid w:val="00E970CB"/>
    <w:rPr>
      <w:rFonts w:ascii="Arial" w:eastAsia="Times New Roman" w:hAnsi="Arial" w:cs="Arial"/>
    </w:rPr>
  </w:style>
  <w:style w:type="paragraph" w:styleId="Footer">
    <w:name w:val="footer"/>
    <w:basedOn w:val="Normal"/>
    <w:link w:val="FooterChar"/>
    <w:rsid w:val="00E970CB"/>
    <w:pPr>
      <w:tabs>
        <w:tab w:val="center" w:pos="4320"/>
        <w:tab w:val="right" w:pos="8640"/>
      </w:tabs>
    </w:pPr>
  </w:style>
  <w:style w:type="character" w:customStyle="1" w:styleId="FooterChar">
    <w:name w:val="Footer Char"/>
    <w:basedOn w:val="DefaultParagraphFont"/>
    <w:link w:val="Footer"/>
    <w:rsid w:val="00E970CB"/>
    <w:rPr>
      <w:rFonts w:ascii="Times New Roman" w:eastAsia="Times New Roman" w:hAnsi="Times New Roman" w:cs="Times New Roman"/>
      <w:sz w:val="24"/>
      <w:szCs w:val="24"/>
    </w:rPr>
  </w:style>
  <w:style w:type="paragraph" w:customStyle="1" w:styleId="Default">
    <w:name w:val="Default"/>
    <w:rsid w:val="00E970C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6">
    <w:name w:val="CM6"/>
    <w:basedOn w:val="Default"/>
    <w:next w:val="Default"/>
    <w:rsid w:val="00E970CB"/>
    <w:rPr>
      <w:rFonts w:ascii="Arial" w:hAnsi="Arial" w:cs="Arial"/>
      <w:color w:val="auto"/>
    </w:rPr>
  </w:style>
  <w:style w:type="paragraph" w:styleId="BodyText">
    <w:name w:val="Body Text"/>
    <w:basedOn w:val="Normal"/>
    <w:link w:val="BodyTextChar"/>
    <w:rsid w:val="00E970CB"/>
    <w:pPr>
      <w:widowControl w:val="0"/>
      <w:tabs>
        <w:tab w:val="num" w:pos="2376"/>
      </w:tabs>
      <w:spacing w:after="120"/>
      <w:ind w:left="2376" w:hanging="216"/>
    </w:pPr>
    <w:rPr>
      <w:snapToGrid w:val="0"/>
      <w:szCs w:val="20"/>
    </w:rPr>
  </w:style>
  <w:style w:type="character" w:customStyle="1" w:styleId="BodyTextChar">
    <w:name w:val="Body Text Char"/>
    <w:basedOn w:val="DefaultParagraphFont"/>
    <w:link w:val="BodyText"/>
    <w:rsid w:val="00E970CB"/>
    <w:rPr>
      <w:rFonts w:ascii="Times New Roman" w:eastAsia="Times New Roman" w:hAnsi="Times New Roman" w:cs="Times New Roman"/>
      <w:snapToGrid w:val="0"/>
      <w:sz w:val="24"/>
      <w:szCs w:val="20"/>
    </w:rPr>
  </w:style>
  <w:style w:type="paragraph" w:customStyle="1" w:styleId="CM3">
    <w:name w:val="CM3"/>
    <w:basedOn w:val="Default"/>
    <w:next w:val="Default"/>
    <w:rsid w:val="00E970CB"/>
    <w:pPr>
      <w:spacing w:line="278" w:lineRule="atLeast"/>
    </w:pPr>
    <w:rPr>
      <w:rFonts w:ascii="Arial" w:hAnsi="Arial" w:cs="Arial"/>
      <w:color w:val="auto"/>
    </w:rPr>
  </w:style>
  <w:style w:type="paragraph" w:styleId="Header">
    <w:name w:val="header"/>
    <w:basedOn w:val="Normal"/>
    <w:link w:val="HeaderChar"/>
    <w:unhideWhenUsed/>
    <w:rsid w:val="00E970CB"/>
    <w:pPr>
      <w:tabs>
        <w:tab w:val="center" w:pos="4680"/>
        <w:tab w:val="right" w:pos="9360"/>
      </w:tabs>
    </w:pPr>
  </w:style>
  <w:style w:type="character" w:customStyle="1" w:styleId="HeaderChar">
    <w:name w:val="Header Char"/>
    <w:basedOn w:val="DefaultParagraphFont"/>
    <w:link w:val="Header"/>
    <w:rsid w:val="00E970C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88299D165CF4BA981AE3E5FFA625C" ma:contentTypeVersion="0" ma:contentTypeDescription="Create a new document." ma:contentTypeScope="" ma:versionID="ed7eb543160f9537066cd7e8d802eb5b">
  <xsd:schema xmlns:xsd="http://www.w3.org/2001/XMLSchema" xmlns:xs="http://www.w3.org/2001/XMLSchema" xmlns:p="http://schemas.microsoft.com/office/2006/metadata/properties" xmlns:ns1="http://schemas.microsoft.com/sharepoint/v3" targetNamespace="http://schemas.microsoft.com/office/2006/metadata/properties" ma:root="true" ma:fieldsID="3ae660fe4bb2453dc8df81e733d21e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282ADB-7351-4B17-9705-A9E0F40004FE}"/>
</file>

<file path=customXml/itemProps2.xml><?xml version="1.0" encoding="utf-8"?>
<ds:datastoreItem xmlns:ds="http://schemas.openxmlformats.org/officeDocument/2006/customXml" ds:itemID="{A020D641-F72B-479A-83A5-6B5E9EE5FCF7}"/>
</file>

<file path=customXml/itemProps3.xml><?xml version="1.0" encoding="utf-8"?>
<ds:datastoreItem xmlns:ds="http://schemas.openxmlformats.org/officeDocument/2006/customXml" ds:itemID="{14F39EC0-FB22-4E47-9131-DDCDF05E7B5D}"/>
</file>

<file path=docProps/app.xml><?xml version="1.0" encoding="utf-8"?>
<Properties xmlns="http://schemas.openxmlformats.org/officeDocument/2006/extended-properties" xmlns:vt="http://schemas.openxmlformats.org/officeDocument/2006/docPropsVTypes">
  <Template>Normal.dotm</Template>
  <TotalTime>1</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Timothy</dc:creator>
  <cp:keywords/>
  <dc:description/>
  <cp:lastModifiedBy>Whaling, Timothy</cp:lastModifiedBy>
  <cp:revision>1</cp:revision>
  <dcterms:created xsi:type="dcterms:W3CDTF">2018-06-07T19:50:00Z</dcterms:created>
  <dcterms:modified xsi:type="dcterms:W3CDTF">2018-06-07T19:51:00Z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0x010100F0388299D165CF4BA981AE3E5FFA625C</vt:lpwstr>
  </property>
</Properties>
</file>