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5F" w:rsidRDefault="009D3E5F" w:rsidP="009D3E5F">
      <w:pPr>
        <w:jc w:val="center"/>
        <w:rPr>
          <w:b/>
        </w:rPr>
      </w:pPr>
      <w:r>
        <w:rPr>
          <w:b/>
        </w:rPr>
        <w:t>SECTION 1.3</w:t>
      </w:r>
    </w:p>
    <w:p w:rsidR="009D3E5F" w:rsidRDefault="009D3E5F" w:rsidP="009D3E5F">
      <w:pPr>
        <w:jc w:val="center"/>
        <w:rPr>
          <w:b/>
        </w:rPr>
      </w:pPr>
    </w:p>
    <w:p w:rsidR="009D3E5F" w:rsidRPr="00077A21" w:rsidRDefault="009D3E5F" w:rsidP="009D3E5F">
      <w:pPr>
        <w:jc w:val="center"/>
        <w:rPr>
          <w:b/>
        </w:rPr>
      </w:pPr>
      <w:r>
        <w:rPr>
          <w:b/>
        </w:rPr>
        <w:t>TECHNICAL SPECIFICATION FOR “</w:t>
      </w:r>
      <w:r w:rsidRPr="00077A21">
        <w:rPr>
          <w:b/>
        </w:rPr>
        <w:t>APPROVED EQUAL”</w:t>
      </w:r>
    </w:p>
    <w:p w:rsidR="009D3E5F" w:rsidRPr="00077A21" w:rsidRDefault="009D3E5F" w:rsidP="009D3E5F">
      <w:pPr>
        <w:tabs>
          <w:tab w:val="left" w:pos="5730"/>
        </w:tabs>
        <w:spacing w:after="120"/>
      </w:pPr>
      <w:r>
        <w:tab/>
      </w:r>
    </w:p>
    <w:p w:rsidR="009D3E5F" w:rsidRPr="00E17D4B" w:rsidRDefault="009D3E5F" w:rsidP="009D3E5F">
      <w:r w:rsidRPr="00E17D4B">
        <w:t xml:space="preserve">Contractor wishing to propose an alternative item in lieu of any item as specified in the contract document shall provide appropriate submittal to Owner for review and approval.  An alternative material proposed by the Contractor </w:t>
      </w:r>
      <w:r>
        <w:t xml:space="preserve">may be </w:t>
      </w:r>
      <w:r w:rsidRPr="00E17D4B">
        <w:t>considered as “an approved” under the following criteria:</w:t>
      </w:r>
    </w:p>
    <w:p w:rsidR="009D3E5F" w:rsidRPr="00E17D4B" w:rsidRDefault="009D3E5F" w:rsidP="009D3E5F"/>
    <w:p w:rsidR="009D3E5F" w:rsidRPr="00E17D4B" w:rsidRDefault="009D3E5F" w:rsidP="009D3E5F">
      <w:pPr>
        <w:numPr>
          <w:ilvl w:val="0"/>
          <w:numId w:val="1"/>
        </w:numPr>
      </w:pPr>
      <w:r w:rsidRPr="00E17D4B">
        <w:t xml:space="preserve">The material has physical characteristics substantially </w:t>
      </w:r>
      <w:proofErr w:type="gramStart"/>
      <w:r w:rsidRPr="00E17D4B">
        <w:t>similar to</w:t>
      </w:r>
      <w:proofErr w:type="gramEnd"/>
      <w:r w:rsidRPr="00E17D4B">
        <w:t xml:space="preserve"> the existing approved material.  These physical characteristics include but are not limited to:</w:t>
      </w:r>
    </w:p>
    <w:p w:rsidR="009D3E5F" w:rsidRPr="00E17D4B" w:rsidRDefault="009D3E5F" w:rsidP="009D3E5F">
      <w:pPr>
        <w:ind w:left="360"/>
      </w:pPr>
    </w:p>
    <w:p w:rsidR="009D3E5F" w:rsidRPr="00E17D4B" w:rsidRDefault="009D3E5F" w:rsidP="009D3E5F">
      <w:pPr>
        <w:numPr>
          <w:ilvl w:val="1"/>
          <w:numId w:val="2"/>
        </w:numPr>
      </w:pPr>
      <w:r w:rsidRPr="00E17D4B">
        <w:t>Size and shape (where appropriate)</w:t>
      </w:r>
    </w:p>
    <w:p w:rsidR="009D3E5F" w:rsidRPr="00E17D4B" w:rsidRDefault="009D3E5F" w:rsidP="009D3E5F">
      <w:pPr>
        <w:numPr>
          <w:ilvl w:val="1"/>
          <w:numId w:val="2"/>
        </w:numPr>
      </w:pPr>
      <w:r w:rsidRPr="00E17D4B">
        <w:t>Thickness (where appropriate)</w:t>
      </w:r>
    </w:p>
    <w:p w:rsidR="009D3E5F" w:rsidRPr="00E17D4B" w:rsidRDefault="009D3E5F" w:rsidP="009D3E5F">
      <w:pPr>
        <w:numPr>
          <w:ilvl w:val="1"/>
          <w:numId w:val="2"/>
        </w:numPr>
      </w:pPr>
      <w:r w:rsidRPr="00E17D4B">
        <w:t>Compressive Strength (as good or better)</w:t>
      </w:r>
    </w:p>
    <w:p w:rsidR="009D3E5F" w:rsidRPr="00E17D4B" w:rsidRDefault="009D3E5F" w:rsidP="009D3E5F">
      <w:pPr>
        <w:numPr>
          <w:ilvl w:val="1"/>
          <w:numId w:val="2"/>
        </w:numPr>
      </w:pPr>
      <w:r w:rsidRPr="00E17D4B">
        <w:t>Tensile Strength (as good or better)</w:t>
      </w:r>
    </w:p>
    <w:p w:rsidR="009D3E5F" w:rsidRPr="00E17D4B" w:rsidRDefault="009D3E5F" w:rsidP="009D3E5F">
      <w:pPr>
        <w:numPr>
          <w:ilvl w:val="1"/>
          <w:numId w:val="2"/>
        </w:numPr>
      </w:pPr>
      <w:r w:rsidRPr="00E17D4B">
        <w:t>Shear/Strain (as good or better)</w:t>
      </w:r>
    </w:p>
    <w:p w:rsidR="009D3E5F" w:rsidRPr="00E17D4B" w:rsidRDefault="009D3E5F" w:rsidP="009D3E5F">
      <w:pPr>
        <w:numPr>
          <w:ilvl w:val="1"/>
          <w:numId w:val="2"/>
        </w:numPr>
      </w:pPr>
      <w:r w:rsidRPr="00E17D4B">
        <w:t>Cohesiveness</w:t>
      </w:r>
    </w:p>
    <w:p w:rsidR="009D3E5F" w:rsidRPr="00E17D4B" w:rsidRDefault="009D3E5F" w:rsidP="009D3E5F">
      <w:pPr>
        <w:numPr>
          <w:ilvl w:val="1"/>
          <w:numId w:val="2"/>
        </w:numPr>
      </w:pPr>
      <w:r w:rsidRPr="00E17D4B">
        <w:t xml:space="preserve">Other properties as defined </w:t>
      </w:r>
      <w:proofErr w:type="gramStart"/>
      <w:r w:rsidRPr="00E17D4B">
        <w:t>by the use of</w:t>
      </w:r>
      <w:proofErr w:type="gramEnd"/>
      <w:r w:rsidRPr="00E17D4B">
        <w:t xml:space="preserve"> the product  </w:t>
      </w:r>
    </w:p>
    <w:p w:rsidR="009D3E5F" w:rsidRPr="00E17D4B" w:rsidRDefault="009D3E5F" w:rsidP="009D3E5F"/>
    <w:p w:rsidR="009D3E5F" w:rsidRPr="00E17D4B" w:rsidRDefault="009D3E5F" w:rsidP="009D3E5F">
      <w:pPr>
        <w:rPr>
          <w:b/>
        </w:rPr>
      </w:pPr>
      <w:r w:rsidRPr="00E17D4B">
        <w:rPr>
          <w:b/>
        </w:rPr>
        <w:t>And</w:t>
      </w:r>
    </w:p>
    <w:p w:rsidR="009D3E5F" w:rsidRPr="00E17D4B" w:rsidRDefault="009D3E5F" w:rsidP="009D3E5F">
      <w:pPr>
        <w:numPr>
          <w:ilvl w:val="0"/>
          <w:numId w:val="1"/>
        </w:numPr>
      </w:pPr>
      <w:r w:rsidRPr="00E17D4B">
        <w:t xml:space="preserve">All applicable ASTM/AWWA/NSF Standards are met (and can be verified by certified independent laboratories located within the </w:t>
      </w:r>
      <w:smartTag w:uri="urn:schemas-microsoft-com:office:smarttags" w:element="country-region">
        <w:r w:rsidRPr="00E17D4B">
          <w:t>United States</w:t>
        </w:r>
      </w:smartTag>
      <w:r w:rsidRPr="00E17D4B">
        <w:t xml:space="preserve"> or </w:t>
      </w:r>
      <w:smartTag w:uri="urn:schemas-microsoft-com:office:smarttags" w:element="country-region">
        <w:smartTag w:uri="urn:schemas-microsoft-com:office:smarttags" w:element="place">
          <w:r w:rsidRPr="00E17D4B">
            <w:t>Canada</w:t>
          </w:r>
        </w:smartTag>
      </w:smartTag>
      <w:r w:rsidRPr="00E17D4B">
        <w:t>)</w:t>
      </w:r>
      <w:r>
        <w:t>.</w:t>
      </w:r>
    </w:p>
    <w:p w:rsidR="009D3E5F" w:rsidRPr="00E17D4B" w:rsidRDefault="009D3E5F" w:rsidP="009D3E5F"/>
    <w:p w:rsidR="009D3E5F" w:rsidRPr="00E17D4B" w:rsidRDefault="009D3E5F" w:rsidP="009D3E5F">
      <w:pPr>
        <w:rPr>
          <w:b/>
        </w:rPr>
      </w:pPr>
      <w:r w:rsidRPr="00E17D4B">
        <w:rPr>
          <w:b/>
        </w:rPr>
        <w:t>And</w:t>
      </w:r>
    </w:p>
    <w:p w:rsidR="009D3E5F" w:rsidRPr="00CA7761" w:rsidRDefault="009D3E5F" w:rsidP="009D3E5F">
      <w:pPr>
        <w:numPr>
          <w:ilvl w:val="0"/>
          <w:numId w:val="1"/>
        </w:numPr>
      </w:pPr>
      <w:r w:rsidRPr="00CA7761">
        <w:t xml:space="preserve">The material has the same or better </w:t>
      </w:r>
      <w:proofErr w:type="gramStart"/>
      <w:r w:rsidRPr="00CA7761">
        <w:t>long term</w:t>
      </w:r>
      <w:proofErr w:type="gramEnd"/>
      <w:r w:rsidRPr="00CA7761">
        <w:t xml:space="preserve"> maintenance requirements as the existing approved product. </w:t>
      </w:r>
    </w:p>
    <w:p w:rsidR="009D3E5F" w:rsidRPr="00E17D4B" w:rsidRDefault="009D3E5F" w:rsidP="009D3E5F"/>
    <w:p w:rsidR="009D3E5F" w:rsidRPr="006A1B2C" w:rsidRDefault="009D3E5F" w:rsidP="009D3E5F">
      <w:pPr>
        <w:rPr>
          <w:b/>
        </w:rPr>
      </w:pPr>
      <w:r w:rsidRPr="006A1B2C">
        <w:rPr>
          <w:b/>
        </w:rPr>
        <w:t>And</w:t>
      </w:r>
    </w:p>
    <w:p w:rsidR="009D3E5F" w:rsidRPr="006A1B2C" w:rsidRDefault="009D3E5F" w:rsidP="009D3E5F">
      <w:pPr>
        <w:numPr>
          <w:ilvl w:val="0"/>
          <w:numId w:val="1"/>
        </w:numPr>
      </w:pPr>
      <w:r w:rsidRPr="006A1B2C">
        <w:t xml:space="preserve">DWU Operations groups can maintain the proposed product with existing equipment and processes.  No new special equipment or additional purchases are needed. </w:t>
      </w:r>
    </w:p>
    <w:p w:rsidR="009D3E5F" w:rsidRPr="006A1B2C" w:rsidRDefault="009D3E5F" w:rsidP="009D3E5F"/>
    <w:p w:rsidR="009D3E5F" w:rsidRPr="0081382C" w:rsidRDefault="009D3E5F" w:rsidP="009D3E5F">
      <w:r w:rsidRPr="0081382C">
        <w:t xml:space="preserve">All request for “Approved Equal” must be sent through </w:t>
      </w:r>
      <w:r>
        <w:t>Owner</w:t>
      </w:r>
      <w:r w:rsidRPr="0081382C">
        <w:t xml:space="preserve"> and include the necessary product information as outlined in Section 1.2 Technical Specification for Submittals.  The </w:t>
      </w:r>
      <w:r>
        <w:t>Owner</w:t>
      </w:r>
      <w:r w:rsidRPr="0081382C">
        <w:t xml:space="preserve"> must provide a written confirmation that the requested material in “Approve Equal” before the Contractor has the authorization to use it </w:t>
      </w:r>
      <w:r>
        <w:t>i</w:t>
      </w:r>
      <w:r w:rsidRPr="0081382C">
        <w:t>n the project.</w:t>
      </w:r>
    </w:p>
    <w:p w:rsidR="009D3E5F" w:rsidRDefault="009D3E5F" w:rsidP="009D3E5F"/>
    <w:p w:rsidR="009D3E5F" w:rsidRPr="006A1B2C" w:rsidRDefault="009D3E5F" w:rsidP="009D3E5F"/>
    <w:p w:rsidR="009D3E5F" w:rsidRPr="00EF0A7B" w:rsidRDefault="009D3E5F" w:rsidP="009D3E5F">
      <w:pPr>
        <w:spacing w:before="120"/>
        <w:ind w:left="1080" w:hanging="1080"/>
        <w:jc w:val="center"/>
        <w:rPr>
          <w:b/>
          <w:spacing w:val="-3"/>
        </w:rPr>
      </w:pPr>
      <w:r w:rsidRPr="00EF0A7B">
        <w:rPr>
          <w:b/>
        </w:rPr>
        <w:t>**END OF SECTION**</w:t>
      </w:r>
    </w:p>
    <w:p w:rsidR="009D3E5F" w:rsidRDefault="009D3E5F" w:rsidP="009D3E5F">
      <w:pPr>
        <w:jc w:val="center"/>
      </w:pPr>
    </w:p>
    <w:p w:rsidR="009D3E5F" w:rsidRDefault="009D3E5F" w:rsidP="009D3E5F"/>
    <w:p w:rsidR="009D3E5F" w:rsidRDefault="009D3E5F" w:rsidP="009D3E5F"/>
    <w:p w:rsidR="00DC05C5" w:rsidRDefault="009D3E5F"/>
    <w:sectPr w:rsidR="00DC05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5F" w:rsidRDefault="009D3E5F" w:rsidP="009D3E5F">
      <w:r>
        <w:separator/>
      </w:r>
    </w:p>
  </w:endnote>
  <w:endnote w:type="continuationSeparator" w:id="0">
    <w:p w:rsidR="009D3E5F" w:rsidRDefault="009D3E5F" w:rsidP="009D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Default="009D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Default="009D3E5F" w:rsidP="009D3E5F">
    <w:pPr>
      <w:pStyle w:val="Footer"/>
      <w:rPr>
        <w:smallCaps/>
        <w:color w:val="0066CC"/>
        <w:sz w:val="20"/>
        <w:szCs w:val="20"/>
      </w:rPr>
    </w:pPr>
    <w:r>
      <w:rPr>
        <w:smallCaps/>
        <w:color w:val="0066CC"/>
        <w:sz w:val="20"/>
        <w:szCs w:val="20"/>
      </w:rPr>
      <w:t xml:space="preserve">Approved </w:t>
    </w:r>
    <w:r>
      <w:rPr>
        <w:smallCaps/>
        <w:color w:val="0066CC"/>
        <w:sz w:val="20"/>
        <w:szCs w:val="20"/>
      </w:rPr>
      <w:t>Equal</w:t>
    </w:r>
    <w:bookmarkStart w:id="0" w:name="_GoBack"/>
    <w:bookmarkEnd w:id="0"/>
    <w:r>
      <w:rPr>
        <w:smallCaps/>
        <w:color w:val="0066CC"/>
        <w:sz w:val="20"/>
        <w:szCs w:val="20"/>
      </w:rPr>
      <w:tab/>
    </w:r>
    <w:r>
      <w:rPr>
        <w:smallCaps/>
        <w:color w:val="0066CC"/>
        <w:sz w:val="20"/>
        <w:szCs w:val="20"/>
      </w:rPr>
      <w:tab/>
      <w:t xml:space="preserve">       1.3-1</w:t>
    </w:r>
  </w:p>
  <w:p w:rsidR="009D3E5F" w:rsidRDefault="009D3E5F" w:rsidP="009D3E5F">
    <w:pPr>
      <w:pStyle w:val="Footer"/>
      <w:tabs>
        <w:tab w:val="clear" w:pos="4680"/>
        <w:tab w:val="clear" w:pos="9360"/>
        <w:tab w:val="left" w:pos="167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Default="009D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5F" w:rsidRDefault="009D3E5F" w:rsidP="009D3E5F">
      <w:r>
        <w:separator/>
      </w:r>
    </w:p>
  </w:footnote>
  <w:footnote w:type="continuationSeparator" w:id="0">
    <w:p w:rsidR="009D3E5F" w:rsidRDefault="009D3E5F" w:rsidP="009D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Default="009D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Pr="007E2AD9" w:rsidRDefault="009D3E5F" w:rsidP="009D3E5F">
    <w:pPr>
      <w:pStyle w:val="Header"/>
    </w:pPr>
    <w:r w:rsidRPr="00AE1A49">
      <w:rPr>
        <w:noProof/>
        <w:color w:val="0066CC"/>
        <w:sz w:val="20"/>
        <w:szCs w:val="20"/>
      </w:rPr>
      <w:drawing>
        <wp:inline distT="0" distB="0" distL="0" distR="0" wp14:anchorId="0A635E85" wp14:editId="212DC253">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9D3E5F" w:rsidRDefault="009D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5F" w:rsidRDefault="009D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6C54"/>
    <w:multiLevelType w:val="hybridMultilevel"/>
    <w:tmpl w:val="2F10C76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4B51A7"/>
    <w:multiLevelType w:val="hybridMultilevel"/>
    <w:tmpl w:val="0F4294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5F"/>
    <w:rsid w:val="000C525E"/>
    <w:rsid w:val="007A3A45"/>
    <w:rsid w:val="007B1167"/>
    <w:rsid w:val="009D3E5F"/>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decimalSymbol w:val="."/>
  <w:listSeparator w:val=","/>
  <w14:docId w14:val="44A8183E"/>
  <w15:chartTrackingRefBased/>
  <w15:docId w15:val="{7276F888-EFF5-4A94-B864-F338B781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E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3E5F"/>
    <w:pPr>
      <w:tabs>
        <w:tab w:val="center" w:pos="4680"/>
        <w:tab w:val="right" w:pos="9360"/>
      </w:tabs>
    </w:pPr>
  </w:style>
  <w:style w:type="character" w:customStyle="1" w:styleId="HeaderChar">
    <w:name w:val="Header Char"/>
    <w:basedOn w:val="DefaultParagraphFont"/>
    <w:link w:val="Header"/>
    <w:rsid w:val="009D3E5F"/>
    <w:rPr>
      <w:rFonts w:ascii="Times New Roman" w:eastAsia="Times New Roman" w:hAnsi="Times New Roman" w:cs="Times New Roman"/>
      <w:sz w:val="24"/>
      <w:szCs w:val="24"/>
    </w:rPr>
  </w:style>
  <w:style w:type="paragraph" w:styleId="Footer">
    <w:name w:val="footer"/>
    <w:basedOn w:val="Normal"/>
    <w:link w:val="FooterChar"/>
    <w:unhideWhenUsed/>
    <w:rsid w:val="009D3E5F"/>
    <w:pPr>
      <w:tabs>
        <w:tab w:val="center" w:pos="4680"/>
        <w:tab w:val="right" w:pos="9360"/>
      </w:tabs>
    </w:pPr>
  </w:style>
  <w:style w:type="character" w:customStyle="1" w:styleId="FooterChar">
    <w:name w:val="Footer Char"/>
    <w:basedOn w:val="DefaultParagraphFont"/>
    <w:link w:val="Footer"/>
    <w:rsid w:val="009D3E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46385E-C292-44D6-B38F-0F937B08FA40}"/>
</file>

<file path=customXml/itemProps2.xml><?xml version="1.0" encoding="utf-8"?>
<ds:datastoreItem xmlns:ds="http://schemas.openxmlformats.org/officeDocument/2006/customXml" ds:itemID="{4045CF44-0382-4ECA-8D06-14D109A7C315}"/>
</file>

<file path=customXml/itemProps3.xml><?xml version="1.0" encoding="utf-8"?>
<ds:datastoreItem xmlns:ds="http://schemas.openxmlformats.org/officeDocument/2006/customXml" ds:itemID="{4AED7E06-0BF2-4081-A521-90D7B154473A}"/>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2018-06-07T18:20:00Z</dcterms:created>
  <dcterms:modified xsi:type="dcterms:W3CDTF">2018-06-07T18:21:00Z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